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</w:rPr>
        <w:t>北京城建远东集团中国中医科学院西苑医院市政管线改造项目</w:t>
      </w:r>
      <w:r>
        <w:rPr>
          <w:rFonts w:hint="eastAsia"/>
          <w:b/>
          <w:bCs/>
          <w:sz w:val="40"/>
          <w:szCs w:val="48"/>
          <w:lang w:val="en-US" w:eastAsia="zh-CN"/>
        </w:rPr>
        <w:t>预制保温管采购补充文件</w:t>
      </w: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numPr>
          <w:ilvl w:val="0"/>
          <w:numId w:val="1"/>
        </w:numPr>
        <w:ind w:left="210" w:leftChars="0" w:firstLineChars="0"/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由于当前技术局限性等因素，将原要求：钢管内防腐采用内衬水泥砂浆防腐层，改为预制保温管管径大于DN100钢管内防腐采用内衬水泥砂浆防腐层，管径小于或等于DN100钢管内防腐可采用IPN8710饮用水防腐涂料，其余要求不变。</w:t>
      </w:r>
    </w:p>
    <w:p>
      <w:pPr>
        <w:numPr>
          <w:ilvl w:val="0"/>
          <w:numId w:val="0"/>
        </w:numPr>
        <w:ind w:left="210" w:leftChars="0"/>
        <w:jc w:val="both"/>
        <w:rPr>
          <w:rFonts w:hint="default"/>
          <w:b/>
          <w:bCs/>
          <w:sz w:val="24"/>
          <w:szCs w:val="32"/>
          <w:lang w:val="en-US" w:eastAsia="zh-CN"/>
        </w:rPr>
      </w:pPr>
      <w:bookmarkStart w:id="0" w:name="_GoBack"/>
      <w:r>
        <w:rPr>
          <w:rFonts w:hint="default"/>
          <w:b/>
          <w:bCs/>
          <w:sz w:val="24"/>
          <w:szCs w:val="32"/>
          <w:lang w:val="en-US" w:eastAsia="zh-CN"/>
        </w:rPr>
        <w:drawing>
          <wp:inline distT="0" distB="0" distL="114300" distR="114300">
            <wp:extent cx="5273675" cy="2437130"/>
            <wp:effectExtent l="0" t="0" r="9525" b="1270"/>
            <wp:docPr id="1" name="图片 1" descr="微信图片_20220516145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5161458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>
      <w:pPr>
        <w:numPr>
          <w:ilvl w:val="0"/>
          <w:numId w:val="0"/>
        </w:num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2、由于项目原因，开标时间由2022年5月19日改为2022年5月18日。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80FE77"/>
    <w:multiLevelType w:val="singleLevel"/>
    <w:tmpl w:val="A480FE77"/>
    <w:lvl w:ilvl="0" w:tentative="0">
      <w:start w:val="1"/>
      <w:numFmt w:val="decimal"/>
      <w:suff w:val="nothing"/>
      <w:lvlText w:val="%1、"/>
      <w:lvlJc w:val="left"/>
      <w:pPr>
        <w:ind w:left="2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NjAxYWI1YTg1NzMxYmNhMWY2OGQwYTQ1ZGZlMGUifQ=="/>
  </w:docVars>
  <w:rsids>
    <w:rsidRoot w:val="60637271"/>
    <w:rsid w:val="0C896346"/>
    <w:rsid w:val="6063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184</Characters>
  <Lines>0</Lines>
  <Paragraphs>0</Paragraphs>
  <TotalTime>7</TotalTime>
  <ScaleCrop>false</ScaleCrop>
  <LinksUpToDate>false</LinksUpToDate>
  <CharactersWithSpaces>184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2022-05-16T06:43:00Z</dcterms:created>
  <dc:creator>Rick</dc:creator>
  <cp:lastModifiedBy>Rick</cp:lastModifiedBy>
  <dcterms:modified xsi:type="dcterms:W3CDTF">2022-05-16T07:14:47Z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643BFD11F39A4AA0BF67F3967BEF2E8C</vt:lpwstr>
  </property>
</Properties>
</file>