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color w:val="000000" w:themeColor="text1"/>
          <w:sz w:val="44"/>
          <w:szCs w:val="44"/>
          <w14:textFill>
            <w14:solidFill>
              <w14:schemeClr w14:val="tx1"/>
            </w14:solidFill>
          </w14:textFill>
        </w:rPr>
      </w:pPr>
    </w:p>
    <w:p>
      <w:pPr>
        <w:spacing w:line="360" w:lineRule="auto"/>
        <w:jc w:val="center"/>
        <w:rPr>
          <w:rFonts w:ascii="宋体" w:hAnsi="宋体" w:cs="宋体"/>
          <w:b/>
          <w:bCs/>
          <w:color w:val="000000" w:themeColor="text1"/>
          <w:sz w:val="44"/>
          <w:szCs w:val="44"/>
          <w14:textFill>
            <w14:solidFill>
              <w14:schemeClr w14:val="tx1"/>
            </w14:solidFill>
          </w14:textFill>
        </w:rPr>
      </w:pPr>
    </w:p>
    <w:p>
      <w:pPr>
        <w:spacing w:line="360" w:lineRule="auto"/>
        <w:jc w:val="center"/>
        <w:rPr>
          <w:rFonts w:ascii="宋体" w:hAnsi="宋体" w:cs="宋体"/>
          <w:b/>
          <w:bCs/>
          <w:color w:val="000000" w:themeColor="text1"/>
          <w:sz w:val="44"/>
          <w:szCs w:val="44"/>
          <w14:textFill>
            <w14:solidFill>
              <w14:schemeClr w14:val="tx1"/>
            </w14:solidFill>
          </w14:textFill>
        </w:rPr>
      </w:pPr>
    </w:p>
    <w:p>
      <w:pPr>
        <w:spacing w:line="360" w:lineRule="auto"/>
        <w:jc w:val="center"/>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育鹰小学（西校区）改扩建工程项目（1#教学楼等 3项）项目</w:t>
      </w:r>
    </w:p>
    <w:p>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w:t>
      </w: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建筑信息模型（BIM）应用服务合同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甲方：北京城建</w:t>
      </w:r>
      <w:r>
        <w:rPr>
          <w:rFonts w:hint="eastAsia" w:ascii="宋体" w:hAnsi="宋体" w:cs="宋体"/>
          <w:b/>
          <w:bCs/>
          <w:color w:val="000000" w:themeColor="text1"/>
          <w:sz w:val="32"/>
          <w:szCs w:val="32"/>
          <w:lang w:val="en-US" w:eastAsia="zh-CN"/>
          <w14:textFill>
            <w14:solidFill>
              <w14:schemeClr w14:val="tx1"/>
            </w14:solidFill>
          </w14:textFill>
        </w:rPr>
        <w:t>远东建设投资</w:t>
      </w:r>
      <w:r>
        <w:rPr>
          <w:rFonts w:hint="eastAsia" w:ascii="宋体" w:hAnsi="宋体" w:cs="宋体"/>
          <w:b/>
          <w:bCs/>
          <w:color w:val="000000" w:themeColor="text1"/>
          <w:sz w:val="32"/>
          <w:szCs w:val="32"/>
          <w14:textFill>
            <w14:solidFill>
              <w14:schemeClr w14:val="tx1"/>
            </w14:solidFill>
          </w14:textFill>
        </w:rPr>
        <w:t>集团有限公司</w:t>
      </w:r>
    </w:p>
    <w:p>
      <w:pPr>
        <w:spacing w:line="360" w:lineRule="auto"/>
        <w:ind w:firstLine="1606" w:firstLineChars="500"/>
        <w:jc w:val="both"/>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乙方：</w:t>
      </w:r>
    </w:p>
    <w:p>
      <w:pPr>
        <w:spacing w:line="360" w:lineRule="auto"/>
        <w:jc w:val="center"/>
        <w:rPr>
          <w:rFonts w:ascii="宋体" w:hAnsi="宋体" w:cs="宋体"/>
          <w:b/>
          <w:bCs/>
          <w:color w:val="000000" w:themeColor="text1"/>
          <w:sz w:val="32"/>
          <w:szCs w:val="32"/>
          <w14:textFill>
            <w14:solidFill>
              <w14:schemeClr w14:val="tx1"/>
            </w14:solidFill>
          </w14:textFill>
        </w:rPr>
      </w:pPr>
    </w:p>
    <w:p>
      <w:pPr>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签订日期：2</w:t>
      </w:r>
      <w:r>
        <w:rPr>
          <w:rFonts w:ascii="宋体" w:hAnsi="宋体" w:cs="宋体"/>
          <w:b/>
          <w:bCs/>
          <w:color w:val="000000" w:themeColor="text1"/>
          <w:sz w:val="32"/>
          <w:szCs w:val="32"/>
          <w14:textFill>
            <w14:solidFill>
              <w14:schemeClr w14:val="tx1"/>
            </w14:solidFill>
          </w14:textFill>
        </w:rPr>
        <w:t>02</w:t>
      </w:r>
      <w:r>
        <w:rPr>
          <w:rFonts w:hint="eastAsia" w:ascii="宋体" w:hAnsi="宋体" w:cs="宋体"/>
          <w:b/>
          <w:bCs/>
          <w:color w:val="000000" w:themeColor="text1"/>
          <w:sz w:val="32"/>
          <w:szCs w:val="32"/>
          <w:lang w:val="en-US" w:eastAsia="zh-CN"/>
          <w14:textFill>
            <w14:solidFill>
              <w14:schemeClr w14:val="tx1"/>
            </w14:solidFill>
          </w14:textFill>
        </w:rPr>
        <w:t>3</w:t>
      </w:r>
      <w:r>
        <w:rPr>
          <w:rFonts w:hint="eastAsia" w:ascii="宋体" w:hAnsi="宋体" w:cs="宋体"/>
          <w:b/>
          <w:bCs/>
          <w:color w:val="000000" w:themeColor="text1"/>
          <w:sz w:val="32"/>
          <w:szCs w:val="32"/>
          <w14:textFill>
            <w14:solidFill>
              <w14:schemeClr w14:val="tx1"/>
            </w14:solidFill>
          </w14:textFill>
        </w:rPr>
        <w:t>年</w:t>
      </w:r>
      <w:r>
        <w:rPr>
          <w:rFonts w:hint="eastAsia" w:ascii="宋体" w:hAnsi="宋体" w:cs="宋体"/>
          <w:b/>
          <w:bCs/>
          <w:color w:val="000000" w:themeColor="text1"/>
          <w:sz w:val="32"/>
          <w:szCs w:val="32"/>
          <w:lang w:val="en-US" w:eastAsia="zh-CN"/>
          <w14:textFill>
            <w14:solidFill>
              <w14:schemeClr w14:val="tx1"/>
            </w14:solidFill>
          </w14:textFill>
        </w:rPr>
        <w:t>12</w:t>
      </w:r>
      <w:r>
        <w:rPr>
          <w:rFonts w:hint="eastAsia" w:ascii="宋体" w:hAnsi="宋体" w:cs="宋体"/>
          <w:b/>
          <w:bCs/>
          <w:color w:val="000000" w:themeColor="text1"/>
          <w:sz w:val="32"/>
          <w:szCs w:val="32"/>
          <w14:textFill>
            <w14:solidFill>
              <w14:schemeClr w14:val="tx1"/>
            </w14:solidFill>
          </w14:textFill>
        </w:rPr>
        <w:t>月</w:t>
      </w:r>
      <w:r>
        <w:rPr>
          <w:rFonts w:hint="eastAsia" w:ascii="宋体" w:hAnsi="宋体" w:cs="宋体"/>
          <w:b/>
          <w:bCs/>
          <w:color w:val="000000" w:themeColor="text1"/>
          <w:sz w:val="32"/>
          <w:szCs w:val="32"/>
          <w:lang w:val="en-US" w:eastAsia="zh-CN"/>
          <w14:textFill>
            <w14:solidFill>
              <w14:schemeClr w14:val="tx1"/>
            </w14:solidFill>
          </w14:textFill>
        </w:rPr>
        <w:t>11</w:t>
      </w:r>
      <w:r>
        <w:rPr>
          <w:rFonts w:hint="eastAsia" w:ascii="宋体" w:hAnsi="宋体" w:cs="宋体"/>
          <w:b/>
          <w:bCs/>
          <w:color w:val="000000" w:themeColor="text1"/>
          <w:sz w:val="32"/>
          <w:szCs w:val="32"/>
          <w14:textFill>
            <w14:solidFill>
              <w14:schemeClr w14:val="tx1"/>
            </w14:solidFill>
          </w14:textFill>
        </w:rPr>
        <w:t>日</w:t>
      </w:r>
    </w:p>
    <w:p>
      <w:pPr>
        <w:rPr>
          <w:rFonts w:ascii="宋体" w:hAnsi="宋体"/>
        </w:rPr>
      </w:pPr>
    </w:p>
    <w:p>
      <w:pPr>
        <w:widowControl/>
        <w:jc w:val="left"/>
        <w:rPr>
          <w:rFonts w:ascii="仿宋" w:hAnsi="仿宋" w:eastAsia="仿宋" w:cstheme="minorBidi"/>
          <w:sz w:val="28"/>
          <w:szCs w:val="28"/>
        </w:rPr>
      </w:pPr>
      <w:bookmarkStart w:id="0" w:name="_Toc416345557"/>
      <w:bookmarkStart w:id="1" w:name="_Toc424790451"/>
      <w:r>
        <w:rPr>
          <w:rFonts w:ascii="仿宋" w:hAnsi="仿宋" w:eastAsia="仿宋"/>
          <w:sz w:val="28"/>
          <w:szCs w:val="28"/>
        </w:rPr>
        <w:br w:type="page"/>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经甲乙双方友好协商，本着平等、自愿、互惠互利的原则，根据《中华人民共和国合同法》等相关法律法规，就甲方委托乙方提供的</w:t>
      </w:r>
      <w:r>
        <w:rPr>
          <w:rFonts w:hint="eastAsia" w:ascii="仿宋" w:hAnsi="仿宋" w:eastAsia="仿宋" w:cstheme="minorBidi"/>
          <w:kern w:val="2"/>
          <w:sz w:val="28"/>
          <w:szCs w:val="28"/>
          <w:u w:val="single"/>
          <w:lang w:val="en-US" w:eastAsia="zh-CN" w:bidi="ar-SA"/>
        </w:rPr>
        <w:t>育鹰小学（西校区）改扩建工程项目（1#教学楼等 3项）项目</w:t>
      </w:r>
      <w:r>
        <w:rPr>
          <w:rFonts w:hint="eastAsia" w:ascii="仿宋" w:hAnsi="仿宋" w:eastAsia="仿宋"/>
          <w:sz w:val="28"/>
          <w:szCs w:val="28"/>
          <w:u w:val="single"/>
          <w:lang w:val="en-US" w:eastAsia="zh-CN"/>
        </w:rPr>
        <w:t>施工</w:t>
      </w:r>
      <w:r>
        <w:rPr>
          <w:rFonts w:hint="eastAsia" w:ascii="仿宋" w:hAnsi="仿宋" w:eastAsia="仿宋"/>
          <w:sz w:val="28"/>
          <w:szCs w:val="28"/>
          <w:u w:val="single"/>
        </w:rPr>
        <w:t>阶段建筑信息模型（B</w:t>
      </w:r>
      <w:r>
        <w:rPr>
          <w:rFonts w:ascii="仿宋" w:hAnsi="仿宋" w:eastAsia="仿宋"/>
          <w:sz w:val="28"/>
          <w:szCs w:val="28"/>
          <w:u w:val="single"/>
        </w:rPr>
        <w:t>IM</w:t>
      </w:r>
      <w:r>
        <w:rPr>
          <w:rFonts w:hint="eastAsia" w:ascii="仿宋" w:hAnsi="仿宋" w:eastAsia="仿宋"/>
          <w:sz w:val="28"/>
          <w:szCs w:val="28"/>
          <w:u w:val="single"/>
        </w:rPr>
        <w:t>）应用服务</w:t>
      </w:r>
      <w:r>
        <w:rPr>
          <w:rFonts w:hint="eastAsia" w:ascii="仿宋" w:hAnsi="仿宋" w:eastAsia="仿宋"/>
          <w:sz w:val="28"/>
          <w:szCs w:val="28"/>
        </w:rPr>
        <w:t>，签订此合同，以资共同遵守。</w:t>
      </w:r>
    </w:p>
    <w:p>
      <w:pPr>
        <w:pStyle w:val="16"/>
        <w:tabs>
          <w:tab w:val="left" w:pos="2230"/>
        </w:tabs>
        <w:spacing w:line="480" w:lineRule="auto"/>
        <w:jc w:val="left"/>
        <w:rPr>
          <w:rFonts w:ascii="仿宋" w:hAnsi="仿宋" w:eastAsia="仿宋"/>
          <w:sz w:val="28"/>
          <w:szCs w:val="28"/>
        </w:rPr>
      </w:pPr>
      <w:r>
        <w:rPr>
          <w:rFonts w:hint="eastAsia" w:ascii="仿宋" w:hAnsi="仿宋" w:eastAsia="仿宋"/>
          <w:b/>
          <w:sz w:val="28"/>
          <w:szCs w:val="28"/>
        </w:rPr>
        <w:t>一、工程概况</w:t>
      </w:r>
      <w:bookmarkEnd w:id="0"/>
      <w:bookmarkEnd w:id="1"/>
      <w:r>
        <w:rPr>
          <w:rFonts w:ascii="仿宋" w:hAnsi="仿宋" w:eastAsia="仿宋"/>
          <w:b/>
          <w:sz w:val="28"/>
          <w:szCs w:val="28"/>
        </w:rPr>
        <w:tab/>
      </w:r>
    </w:p>
    <w:p>
      <w:pPr>
        <w:autoSpaceDE w:val="0"/>
        <w:autoSpaceDN w:val="0"/>
        <w:adjustRightInd w:val="0"/>
        <w:spacing w:line="480" w:lineRule="auto"/>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工程名称:</w:t>
      </w:r>
      <w:r>
        <w:rPr>
          <w:rFonts w:hint="eastAsia" w:ascii="宋体" w:hAnsi="宋体" w:eastAsia="宋体" w:cs="Times New Roman"/>
          <w:b w:val="0"/>
          <w:bCs w:val="0"/>
          <w:sz w:val="24"/>
          <w:u w:val="single"/>
        </w:rPr>
        <w:t>育鹰小学（西校区）改扩建工程项目（1#教学楼等 3项）项目</w:t>
      </w:r>
    </w:p>
    <w:p>
      <w:pPr>
        <w:autoSpaceDE w:val="0"/>
        <w:autoSpaceDN w:val="0"/>
        <w:adjustRightInd w:val="0"/>
        <w:spacing w:line="480" w:lineRule="auto"/>
        <w:rPr>
          <w:rFonts w:hint="default" w:ascii="仿宋" w:hAnsi="仿宋" w:eastAsia="仿宋"/>
          <w:kern w:val="0"/>
          <w:sz w:val="28"/>
          <w:szCs w:val="28"/>
          <w:highlight w:val="none"/>
          <w:lang w:val="en-US" w:eastAsia="zh-CN"/>
        </w:rPr>
      </w:pPr>
      <w:r>
        <w:rPr>
          <w:rFonts w:hint="eastAsia" w:ascii="仿宋" w:hAnsi="仿宋" w:eastAsia="仿宋"/>
          <w:kern w:val="0"/>
          <w:sz w:val="28"/>
          <w:szCs w:val="28"/>
          <w:highlight w:val="none"/>
          <w:lang w:val="en-US" w:eastAsia="zh-CN"/>
        </w:rPr>
        <w:t>建设规模:建筑面积总计为 15354.81 ㎡的建筑（地上四层、地下二层），其中地上建筑面积为 8314.81 ㎡、地下建筑面积为 7040.00 ㎡。本合同面积包死，结算时不做调整。</w:t>
      </w:r>
    </w:p>
    <w:p>
      <w:pPr>
        <w:tabs>
          <w:tab w:val="left" w:pos="7084"/>
        </w:tabs>
        <w:autoSpaceDE w:val="0"/>
        <w:autoSpaceDN w:val="0"/>
        <w:adjustRightInd w:val="0"/>
        <w:spacing w:line="480" w:lineRule="auto"/>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建设地点:北京市海淀区安宁庄路5号</w:t>
      </w:r>
      <w:r>
        <w:rPr>
          <w:rFonts w:hint="eastAsia" w:ascii="仿宋" w:hAnsi="仿宋" w:eastAsia="仿宋"/>
          <w:kern w:val="0"/>
          <w:sz w:val="28"/>
          <w:szCs w:val="28"/>
          <w:lang w:val="en-US" w:eastAsia="zh-CN"/>
        </w:rPr>
        <w:tab/>
      </w:r>
    </w:p>
    <w:p>
      <w:pPr>
        <w:autoSpaceDE w:val="0"/>
        <w:autoSpaceDN w:val="0"/>
        <w:adjustRightInd w:val="0"/>
        <w:spacing w:line="480" w:lineRule="auto"/>
        <w:rPr>
          <w:rFonts w:ascii="仿宋" w:hAnsi="仿宋" w:eastAsia="仿宋"/>
          <w:b/>
          <w:kern w:val="0"/>
          <w:sz w:val="28"/>
          <w:szCs w:val="28"/>
          <w:lang w:val="zh-CN"/>
        </w:rPr>
      </w:pPr>
      <w:r>
        <w:rPr>
          <w:rFonts w:hint="eastAsia" w:ascii="仿宋" w:hAnsi="仿宋" w:eastAsia="仿宋"/>
          <w:b/>
          <w:sz w:val="28"/>
          <w:szCs w:val="28"/>
        </w:rPr>
        <w:t>二、乙方为甲方提供服务内容</w:t>
      </w:r>
    </w:p>
    <w:p>
      <w:pPr>
        <w:autoSpaceDE w:val="0"/>
        <w:autoSpaceDN w:val="0"/>
        <w:adjustRightInd w:val="0"/>
        <w:spacing w:line="480" w:lineRule="auto"/>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lang w:val="zh-CN"/>
        </w:rPr>
        <w:t>、</w:t>
      </w:r>
      <w:r>
        <w:rPr>
          <w:rFonts w:hint="eastAsia" w:ascii="仿宋" w:hAnsi="仿宋" w:eastAsia="仿宋"/>
          <w:kern w:val="0"/>
          <w:sz w:val="28"/>
          <w:szCs w:val="28"/>
          <w:lang w:val="en-US" w:eastAsia="zh-CN"/>
        </w:rPr>
        <w:t>工程</w:t>
      </w:r>
      <w:r>
        <w:rPr>
          <w:rFonts w:hint="eastAsia" w:ascii="仿宋" w:hAnsi="仿宋" w:eastAsia="仿宋"/>
          <w:kern w:val="0"/>
          <w:sz w:val="28"/>
          <w:szCs w:val="28"/>
          <w:lang w:val="zh-CN"/>
        </w:rPr>
        <w:t>技术服务清单及交付成果如下：</w:t>
      </w:r>
    </w:p>
    <w:tbl>
      <w:tblPr>
        <w:tblStyle w:val="8"/>
        <w:tblW w:w="9253" w:type="dxa"/>
        <w:tblInd w:w="-211" w:type="dxa"/>
        <w:shd w:val="clear" w:color="auto" w:fill="auto"/>
        <w:tblLayout w:type="fixed"/>
        <w:tblCellMar>
          <w:top w:w="0" w:type="dxa"/>
          <w:left w:w="108" w:type="dxa"/>
          <w:bottom w:w="0" w:type="dxa"/>
          <w:right w:w="108" w:type="dxa"/>
        </w:tblCellMar>
      </w:tblPr>
      <w:tblGrid>
        <w:gridCol w:w="478"/>
        <w:gridCol w:w="1025"/>
        <w:gridCol w:w="3013"/>
        <w:gridCol w:w="1387"/>
        <w:gridCol w:w="700"/>
        <w:gridCol w:w="763"/>
        <w:gridCol w:w="962"/>
        <w:gridCol w:w="925"/>
      </w:tblGrid>
      <w:tr>
        <w:tblPrEx>
          <w:shd w:val="clear" w:color="auto" w:fill="auto"/>
          <w:tblCellMar>
            <w:top w:w="0" w:type="dxa"/>
            <w:left w:w="108" w:type="dxa"/>
            <w:bottom w:w="0" w:type="dxa"/>
            <w:right w:w="108" w:type="dxa"/>
          </w:tblCellMar>
        </w:tblPrEx>
        <w:trPr>
          <w:trHeight w:val="510" w:hRule="atLeast"/>
        </w:trPr>
        <w:tc>
          <w:tcPr>
            <w:tcW w:w="478"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编号</w:t>
            </w:r>
          </w:p>
        </w:tc>
        <w:tc>
          <w:tcPr>
            <w:tcW w:w="1025"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BIM服务项</w:t>
            </w:r>
          </w:p>
        </w:tc>
        <w:tc>
          <w:tcPr>
            <w:tcW w:w="3013"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内容说明</w:t>
            </w:r>
          </w:p>
        </w:tc>
        <w:tc>
          <w:tcPr>
            <w:tcW w:w="1387"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提交成果</w:t>
            </w:r>
          </w:p>
        </w:tc>
        <w:tc>
          <w:tcPr>
            <w:tcW w:w="700"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单价</w:t>
            </w:r>
          </w:p>
        </w:tc>
        <w:tc>
          <w:tcPr>
            <w:tcW w:w="962"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w:t>
            </w:r>
          </w:p>
        </w:tc>
        <w:tc>
          <w:tcPr>
            <w:tcW w:w="925" w:type="dxa"/>
            <w:tcBorders>
              <w:top w:val="single" w:color="000000" w:sz="4" w:space="0"/>
              <w:left w:val="single" w:color="000000" w:sz="4" w:space="0"/>
              <w:bottom w:val="single" w:color="000000" w:sz="4" w:space="0"/>
              <w:right w:val="single" w:color="000000" w:sz="4" w:space="0"/>
            </w:tcBorders>
            <w:shd w:val="clear" w:color="auto" w:fill="B4C6E7"/>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总价</w:t>
            </w:r>
          </w:p>
        </w:tc>
      </w:tr>
      <w:tr>
        <w:tblPrEx>
          <w:tblCellMar>
            <w:top w:w="0" w:type="dxa"/>
            <w:left w:w="108" w:type="dxa"/>
            <w:bottom w:w="0" w:type="dxa"/>
            <w:right w:w="108" w:type="dxa"/>
          </w:tblCellMar>
        </w:tblPrEx>
        <w:trPr>
          <w:trHeight w:val="1237"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建筑结构模型</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包含施工图中的建筑、结构专业的几何图形模型，并统计记录图纸中的错漏碰缺问题形成图纸审核报告</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1.土建BIM模型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2.图纸问题报告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m2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15354.81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rPr>
            </w:pPr>
          </w:p>
        </w:tc>
      </w:tr>
      <w:tr>
        <w:tblPrEx>
          <w:tblCellMar>
            <w:top w:w="0" w:type="dxa"/>
            <w:left w:w="108" w:type="dxa"/>
            <w:bottom w:w="0" w:type="dxa"/>
            <w:right w:w="108" w:type="dxa"/>
          </w:tblCellMar>
        </w:tblPrEx>
        <w:trPr>
          <w:trHeight w:val="1378"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机电BIM模型</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15"/>
                <w:szCs w:val="18"/>
              </w:rPr>
            </w:pPr>
            <w:r>
              <w:rPr>
                <w:rFonts w:hint="eastAsia"/>
                <w:sz w:val="15"/>
                <w:szCs w:val="18"/>
                <w:lang w:val="en-US" w:eastAsia="zh-CN"/>
              </w:rPr>
              <w:t>包含施工图中的建筑、结构、给排水、暖通、电气专业的几何图形模型，并统计记录图纸中的错漏碰缺问题形成图纸审核报告</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1机电BIM模型</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2.图纸问题报告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m2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15354.81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59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管线综合优化</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15"/>
                <w:szCs w:val="18"/>
                <w:lang w:val="en-US" w:eastAsia="zh-CN"/>
              </w:rPr>
            </w:pPr>
            <w:r>
              <w:rPr>
                <w:rFonts w:hint="eastAsia"/>
                <w:sz w:val="15"/>
                <w:szCs w:val="18"/>
                <w:lang w:val="en-US" w:eastAsia="zh-CN"/>
              </w:rPr>
              <w:t>1、根据项目要求对机电主管线进行优化共同确认管线综合调整方案；</w:t>
            </w:r>
          </w:p>
          <w:p>
            <w:pPr>
              <w:keepNext w:val="0"/>
              <w:keepLines w:val="0"/>
              <w:widowControl/>
              <w:suppressLineNumbers w:val="0"/>
              <w:jc w:val="center"/>
              <w:textAlignment w:val="center"/>
              <w:rPr>
                <w:rFonts w:hint="eastAsia"/>
                <w:sz w:val="15"/>
                <w:szCs w:val="18"/>
                <w:lang w:val="en-US" w:eastAsia="zh-CN"/>
              </w:rPr>
            </w:pPr>
            <w:r>
              <w:rPr>
                <w:rFonts w:hint="eastAsia"/>
                <w:sz w:val="15"/>
                <w:szCs w:val="18"/>
                <w:lang w:val="en-US" w:eastAsia="zh-CN"/>
              </w:rPr>
              <w:t>2、预留洞深化；</w:t>
            </w:r>
          </w:p>
          <w:p>
            <w:pPr>
              <w:keepNext w:val="0"/>
              <w:keepLines w:val="0"/>
              <w:widowControl/>
              <w:suppressLineNumbers w:val="0"/>
              <w:jc w:val="center"/>
              <w:textAlignment w:val="center"/>
              <w:rPr>
                <w:rFonts w:hint="eastAsia"/>
                <w:sz w:val="15"/>
                <w:szCs w:val="18"/>
                <w:lang w:val="en-US" w:eastAsia="zh-CN"/>
              </w:rPr>
            </w:pPr>
            <w:r>
              <w:rPr>
                <w:rFonts w:hint="eastAsia"/>
                <w:sz w:val="15"/>
                <w:szCs w:val="18"/>
                <w:lang w:val="en-US" w:eastAsia="zh-CN"/>
              </w:rPr>
              <w:t>3、依据净高进行优化排布，对于不能满足要求的部分进行优化和设计沟通确认最终方案，满足净高要求，出具净高分析报告，最终进行指导施工；</w:t>
            </w:r>
          </w:p>
          <w:p>
            <w:pPr>
              <w:keepNext w:val="0"/>
              <w:keepLines w:val="0"/>
              <w:widowControl/>
              <w:suppressLineNumbers w:val="0"/>
              <w:jc w:val="center"/>
              <w:textAlignment w:val="center"/>
              <w:rPr>
                <w:rFonts w:hint="default"/>
                <w:sz w:val="15"/>
                <w:szCs w:val="18"/>
                <w:lang w:val="en-US"/>
              </w:rPr>
            </w:pPr>
            <w:r>
              <w:rPr>
                <w:rFonts w:hint="eastAsia"/>
                <w:sz w:val="15"/>
                <w:szCs w:val="18"/>
                <w:lang w:val="en-US" w:eastAsia="zh-CN"/>
              </w:rPr>
              <w:t>4、主要地下，地上部分简易优化。</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1碰撞检测报告</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2管综优化模型</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3.优化修改记录</w:t>
            </w:r>
          </w:p>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4.净空分析报告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m2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15354.81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95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场地布置</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1、各阶段场地布置模型；</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2、景观布置模型。</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bookmarkStart w:id="13" w:name="_GoBack"/>
            <w:bookmarkEnd w:id="13"/>
            <w:r>
              <w:rPr>
                <w:rFonts w:hint="eastAsia" w:ascii="等线" w:hAnsi="等线" w:eastAsia="等线" w:cs="等线"/>
                <w:i w:val="0"/>
                <w:iCs w:val="0"/>
                <w:color w:val="000000"/>
                <w:kern w:val="0"/>
                <w:sz w:val="16"/>
                <w:szCs w:val="16"/>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50" w:firstLineChars="100"/>
              <w:jc w:val="both"/>
              <w:textAlignment w:val="center"/>
              <w:rPr>
                <w:rFonts w:hint="eastAsia"/>
                <w:sz w:val="15"/>
                <w:szCs w:val="18"/>
                <w:lang w:val="en-US" w:eastAsia="zh-CN"/>
              </w:rPr>
            </w:pPr>
            <w:r>
              <w:rPr>
                <w:rFonts w:hint="eastAsia" w:ascii="宋体" w:hAnsi="宋体" w:cs="宋体"/>
                <w:i w:val="0"/>
                <w:iCs w:val="0"/>
                <w:color w:val="000000"/>
                <w:sz w:val="15"/>
                <w:szCs w:val="15"/>
                <w:u w:val="none"/>
                <w:lang w:val="en-US" w:eastAsia="zh-CN"/>
              </w:rPr>
              <w:t>m2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eastAsia="zh-CN"/>
              </w:rPr>
            </w:pPr>
            <w:r>
              <w:rPr>
                <w:rFonts w:hint="eastAsia" w:ascii="宋体" w:hAnsi="宋体" w:cs="宋体"/>
                <w:i w:val="0"/>
                <w:iCs w:val="0"/>
                <w:color w:val="000000"/>
                <w:sz w:val="15"/>
                <w:szCs w:val="15"/>
                <w:u w:val="none"/>
                <w:lang w:val="en-US" w:eastAsia="zh-CN"/>
              </w:rPr>
              <w:t>15354.81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CellMar>
            <w:top w:w="0" w:type="dxa"/>
            <w:left w:w="108" w:type="dxa"/>
            <w:bottom w:w="0" w:type="dxa"/>
            <w:right w:w="108" w:type="dxa"/>
          </w:tblCellMar>
        </w:tblPrEx>
        <w:trPr>
          <w:trHeight w:val="46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等线" w:hAnsi="等线" w:eastAsia="等线" w:cs="等线"/>
                <w:i w:val="0"/>
                <w:iCs w:val="0"/>
                <w:color w:val="000000"/>
                <w:kern w:val="0"/>
                <w:sz w:val="16"/>
                <w:szCs w:val="16"/>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等线" w:hAnsi="等线" w:eastAsia="等线" w:cs="等线"/>
                <w:i w:val="0"/>
                <w:iCs w:val="0"/>
                <w:color w:val="000000"/>
                <w:kern w:val="0"/>
                <w:sz w:val="16"/>
                <w:szCs w:val="16"/>
                <w:u w:val="none"/>
                <w:lang w:val="en-US" w:eastAsia="zh-CN" w:bidi="ar"/>
              </w:rPr>
              <w:t>竣工模型交付</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按照要求将模型和相关文档交付</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等线" w:hAnsi="等线" w:eastAsia="等线" w:cs="等线"/>
                <w:i w:val="0"/>
                <w:iCs w:val="0"/>
                <w:color w:val="000000"/>
                <w:kern w:val="0"/>
                <w:sz w:val="16"/>
                <w:szCs w:val="16"/>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2"/>
                <w:sz w:val="15"/>
                <w:szCs w:val="15"/>
                <w:u w:val="none"/>
                <w:lang w:val="en-US" w:eastAsia="zh-CN" w:bidi="ar-SA"/>
              </w:rPr>
              <w:t>m2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sz w:val="15"/>
                <w:szCs w:val="15"/>
                <w:u w:val="none"/>
                <w:lang w:val="en-US" w:eastAsia="zh-CN"/>
              </w:rPr>
              <w:t>15354.81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15"/>
                <w:szCs w:val="15"/>
                <w:u w:val="none"/>
                <w:lang w:val="en-US" w:eastAsia="zh-CN"/>
              </w:rPr>
            </w:pPr>
          </w:p>
        </w:tc>
      </w:tr>
      <w:tr>
        <w:tblPrEx>
          <w:tblCellMar>
            <w:top w:w="0" w:type="dxa"/>
            <w:left w:w="108" w:type="dxa"/>
            <w:bottom w:w="0" w:type="dxa"/>
            <w:right w:w="108" w:type="dxa"/>
          </w:tblCellMar>
        </w:tblPrEx>
        <w:trPr>
          <w:trHeight w:val="1525"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报奖服务</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包括龙图杯、中建协、中施企协、BIM示范工程等多类奖项的申报与制作，并保证得奖。（视频不低于6分钟，包括漫游视频、施工模拟视频，PPT按照申报标准制作）</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cs="宋体"/>
                <w:i w:val="0"/>
                <w:iCs w:val="0"/>
                <w:color w:val="000000"/>
                <w:kern w:val="0"/>
                <w:sz w:val="15"/>
                <w:szCs w:val="15"/>
                <w:u w:val="none"/>
                <w:lang w:val="en-US" w:eastAsia="zh-CN" w:bidi="ar"/>
              </w:rPr>
              <w:t>报奖汇报</w:t>
            </w:r>
            <w:r>
              <w:rPr>
                <w:rFonts w:hint="eastAsia" w:ascii="宋体" w:hAnsi="宋体" w:eastAsia="宋体" w:cs="宋体"/>
                <w:i w:val="0"/>
                <w:iCs w:val="0"/>
                <w:color w:val="000000"/>
                <w:kern w:val="0"/>
                <w:sz w:val="15"/>
                <w:szCs w:val="15"/>
                <w:u w:val="none"/>
                <w:lang w:val="en-US" w:eastAsia="zh-CN" w:bidi="ar"/>
              </w:rPr>
              <w:t>视频</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0"/>
                <w:sz w:val="15"/>
                <w:szCs w:val="15"/>
                <w:u w:val="none"/>
                <w:lang w:val="en-US" w:eastAsia="zh-CN" w:bidi="ar"/>
              </w:rPr>
              <w:t>报奖ppt制作及报奖素材整理。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2"/>
                <w:sz w:val="15"/>
                <w:szCs w:val="15"/>
                <w:u w:val="none"/>
                <w:lang w:val="en-US" w:eastAsia="zh-CN" w:bidi="ar-SA"/>
              </w:rPr>
              <w:t>项</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cs="宋体"/>
                <w:i w:val="0"/>
                <w:iCs w:val="0"/>
                <w:color w:val="000000"/>
                <w:kern w:val="2"/>
                <w:sz w:val="15"/>
                <w:szCs w:val="15"/>
                <w:u w:val="none"/>
                <w:lang w:val="en-US" w:eastAsia="zh-CN" w:bidi="ar-SA"/>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5"/>
                <w:szCs w:val="15"/>
                <w:u w:val="none"/>
                <w:lang w:val="en-US" w:eastAsia="zh-CN" w:bidi="ar-SA"/>
              </w:rPr>
            </w:pPr>
          </w:p>
        </w:tc>
      </w:tr>
      <w:tr>
        <w:tblPrEx>
          <w:shd w:val="clear" w:color="auto" w:fill="auto"/>
          <w:tblCellMar>
            <w:top w:w="0" w:type="dxa"/>
            <w:left w:w="108" w:type="dxa"/>
            <w:bottom w:w="0" w:type="dxa"/>
            <w:right w:w="108" w:type="dxa"/>
          </w:tblCellMar>
        </w:tblPrEx>
        <w:trPr>
          <w:trHeight w:val="4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p>
        </w:tc>
        <w:tc>
          <w:tcPr>
            <w:tcW w:w="77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费用合计</w:t>
            </w:r>
            <w:r>
              <w:rPr>
                <w:rFonts w:hint="eastAsia" w:ascii="宋体" w:hAnsi="宋体" w:cs="宋体"/>
                <w:i w:val="0"/>
                <w:iCs w:val="0"/>
                <w:color w:val="000000"/>
                <w:kern w:val="0"/>
                <w:sz w:val="21"/>
                <w:szCs w:val="21"/>
                <w:u w:val="none"/>
                <w:lang w:val="en-US" w:eastAsia="zh-CN" w:bidi="ar"/>
              </w:rPr>
              <w:t>含税金额</w:t>
            </w:r>
            <w:r>
              <w:rPr>
                <w:rFonts w:hint="eastAsia" w:ascii="宋体" w:hAnsi="宋体" w:eastAsia="宋体" w:cs="宋体"/>
                <w:i w:val="0"/>
                <w:iCs w:val="0"/>
                <w:color w:val="000000"/>
                <w:kern w:val="0"/>
                <w:sz w:val="21"/>
                <w:szCs w:val="21"/>
                <w:u w:val="none"/>
                <w:lang w:val="en-US" w:eastAsia="zh-CN" w:bidi="ar"/>
              </w:rPr>
              <w:t>为：</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元，大写：</w:t>
            </w:r>
            <w:r>
              <w:rPr>
                <w:rFonts w:hint="eastAsia" w:ascii="宋体" w:hAnsi="宋体" w:cs="宋体"/>
                <w:i w:val="0"/>
                <w:iCs w:val="0"/>
                <w:color w:val="000000"/>
                <w:kern w:val="0"/>
                <w:sz w:val="21"/>
                <w:szCs w:val="21"/>
                <w:u w:val="none"/>
                <w:lang w:val="en-US" w:eastAsia="zh-CN" w:bidi="ar"/>
              </w:rPr>
              <w:t xml:space="preserve">   元</w:t>
            </w:r>
            <w:r>
              <w:rPr>
                <w:rFonts w:hint="eastAsia" w:ascii="宋体" w:hAnsi="宋体" w:eastAsia="宋体" w:cs="宋体"/>
                <w:i w:val="0"/>
                <w:iCs w:val="0"/>
                <w:color w:val="000000"/>
                <w:kern w:val="0"/>
                <w:sz w:val="21"/>
                <w:szCs w:val="21"/>
                <w:u w:val="none"/>
                <w:lang w:val="en-US" w:eastAsia="zh-CN" w:bidi="ar"/>
              </w:rPr>
              <w:t>整</w:t>
            </w:r>
            <w:r>
              <w:rPr>
                <w:rFonts w:hint="eastAsia" w:ascii="宋体" w:hAnsi="宋体" w:cs="宋体"/>
                <w:i w:val="0"/>
                <w:iCs w:val="0"/>
                <w:color w:val="000000"/>
                <w:kern w:val="0"/>
                <w:sz w:val="21"/>
                <w:szCs w:val="21"/>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除税金额：    增值税金额：       税率：</w:t>
            </w:r>
          </w:p>
        </w:tc>
      </w:tr>
    </w:tbl>
    <w:p>
      <w:pPr>
        <w:numPr>
          <w:ilvl w:val="0"/>
          <w:numId w:val="2"/>
        </w:numPr>
        <w:autoSpaceDE w:val="0"/>
        <w:autoSpaceDN w:val="0"/>
        <w:adjustRightInd w:val="0"/>
        <w:spacing w:line="480" w:lineRule="auto"/>
        <w:ind w:right="-512" w:rightChars="-244" w:firstLine="280" w:firstLineChars="1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服务内容依据工程满足需要，按照项目BIM总体单位及施工单位要求工期开展工作。</w:t>
      </w:r>
    </w:p>
    <w:p>
      <w:pPr>
        <w:pStyle w:val="2"/>
        <w:numPr>
          <w:ilvl w:val="0"/>
          <w:numId w:val="2"/>
        </w:numPr>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本合同为固定单价合同，单价包含为完成甲方下发各项任务的所有直接或间接费用。</w:t>
      </w:r>
    </w:p>
    <w:p>
      <w:pPr>
        <w:autoSpaceDE w:val="0"/>
        <w:autoSpaceDN w:val="0"/>
        <w:adjustRightInd w:val="0"/>
        <w:spacing w:line="480" w:lineRule="auto"/>
        <w:rPr>
          <w:rFonts w:ascii="仿宋" w:hAnsi="仿宋" w:eastAsia="仿宋"/>
          <w:b/>
          <w:color w:val="000000"/>
          <w:sz w:val="28"/>
          <w:szCs w:val="28"/>
        </w:rPr>
      </w:pPr>
      <w:r>
        <w:rPr>
          <w:rFonts w:hint="eastAsia" w:ascii="仿宋" w:hAnsi="仿宋" w:eastAsia="仿宋"/>
          <w:b/>
          <w:color w:val="000000"/>
          <w:sz w:val="28"/>
          <w:szCs w:val="28"/>
        </w:rPr>
        <w:t>三、甲、乙双方联系人员信息</w:t>
      </w:r>
    </w:p>
    <w:p>
      <w:pPr>
        <w:autoSpaceDE w:val="0"/>
        <w:autoSpaceDN w:val="0"/>
        <w:adjustRightInd w:val="0"/>
        <w:spacing w:line="48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甲乙双方各指定一名项目联系人，负责双方工作的沟通、文件的收发等一系列项目联系事宜，具体信息见下表：</w:t>
      </w:r>
    </w:p>
    <w:tbl>
      <w:tblPr>
        <w:tblStyle w:val="9"/>
        <w:tblW w:w="52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1572"/>
        <w:gridCol w:w="1728"/>
        <w:gridCol w:w="2046"/>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项目方</w:t>
            </w:r>
          </w:p>
        </w:tc>
        <w:tc>
          <w:tcPr>
            <w:tcW w:w="807"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姓名</w:t>
            </w:r>
          </w:p>
        </w:tc>
        <w:tc>
          <w:tcPr>
            <w:tcW w:w="887"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岗位</w:t>
            </w:r>
          </w:p>
        </w:tc>
        <w:tc>
          <w:tcPr>
            <w:tcW w:w="1050"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联系电话</w:t>
            </w:r>
          </w:p>
        </w:tc>
        <w:tc>
          <w:tcPr>
            <w:tcW w:w="1289"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甲方</w:t>
            </w:r>
          </w:p>
        </w:tc>
        <w:tc>
          <w:tcPr>
            <w:tcW w:w="807" w:type="pct"/>
          </w:tcPr>
          <w:p>
            <w:pPr>
              <w:autoSpaceDE w:val="0"/>
              <w:autoSpaceDN w:val="0"/>
              <w:adjustRightInd w:val="0"/>
              <w:spacing w:line="480" w:lineRule="auto"/>
              <w:jc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魏鹏宇</w:t>
            </w:r>
          </w:p>
        </w:tc>
        <w:tc>
          <w:tcPr>
            <w:tcW w:w="887" w:type="pct"/>
          </w:tcPr>
          <w:p>
            <w:pPr>
              <w:autoSpaceDE w:val="0"/>
              <w:autoSpaceDN w:val="0"/>
              <w:adjustRightInd w:val="0"/>
              <w:spacing w:line="480" w:lineRule="auto"/>
              <w:jc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技术负责人</w:t>
            </w:r>
          </w:p>
        </w:tc>
        <w:tc>
          <w:tcPr>
            <w:tcW w:w="1050" w:type="pct"/>
          </w:tcPr>
          <w:p>
            <w:pPr>
              <w:autoSpaceDE w:val="0"/>
              <w:autoSpaceDN w:val="0"/>
              <w:adjustRightInd w:val="0"/>
              <w:spacing w:line="480" w:lineRule="auto"/>
              <w:jc w:val="center"/>
              <w:rPr>
                <w:rFonts w:hint="default" w:ascii="仿宋" w:hAnsi="仿宋" w:eastAsia="仿宋"/>
                <w:color w:val="000000"/>
                <w:kern w:val="0"/>
                <w:sz w:val="24"/>
                <w:lang w:val="en-US" w:eastAsia="zh-CN"/>
              </w:rPr>
            </w:pPr>
            <w:r>
              <w:rPr>
                <w:rFonts w:hint="default" w:ascii="仿宋" w:hAnsi="仿宋" w:eastAsia="仿宋"/>
                <w:color w:val="000000"/>
                <w:kern w:val="0"/>
                <w:sz w:val="24"/>
                <w:lang w:val="en-US" w:eastAsia="zh-CN"/>
              </w:rPr>
              <w:t>18519521469</w:t>
            </w:r>
          </w:p>
        </w:tc>
        <w:tc>
          <w:tcPr>
            <w:tcW w:w="1289" w:type="pct"/>
          </w:tcPr>
          <w:p>
            <w:pPr>
              <w:autoSpaceDE w:val="0"/>
              <w:autoSpaceDN w:val="0"/>
              <w:adjustRightInd w:val="0"/>
              <w:spacing w:line="480" w:lineRule="auto"/>
              <w:jc w:val="center"/>
              <w:rPr>
                <w:rFonts w:hint="default" w:ascii="仿宋" w:hAnsi="仿宋" w:eastAsia="仿宋"/>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rPr>
              <w:t>乙方</w:t>
            </w:r>
          </w:p>
        </w:tc>
        <w:tc>
          <w:tcPr>
            <w:tcW w:w="807" w:type="pct"/>
          </w:tcPr>
          <w:p>
            <w:pPr>
              <w:autoSpaceDE w:val="0"/>
              <w:autoSpaceDN w:val="0"/>
              <w:adjustRightInd w:val="0"/>
              <w:spacing w:line="480" w:lineRule="auto"/>
              <w:jc w:val="center"/>
              <w:rPr>
                <w:rFonts w:hint="default" w:ascii="仿宋" w:hAnsi="仿宋" w:eastAsia="仿宋"/>
                <w:color w:val="000000"/>
                <w:kern w:val="0"/>
                <w:sz w:val="24"/>
                <w:lang w:val="en-US" w:eastAsia="zh-CN"/>
              </w:rPr>
            </w:pPr>
          </w:p>
        </w:tc>
        <w:tc>
          <w:tcPr>
            <w:tcW w:w="887" w:type="pct"/>
          </w:tcPr>
          <w:p>
            <w:pPr>
              <w:autoSpaceDE w:val="0"/>
              <w:autoSpaceDN w:val="0"/>
              <w:adjustRightInd w:val="0"/>
              <w:spacing w:line="480" w:lineRule="auto"/>
              <w:jc w:val="center"/>
              <w:rPr>
                <w:rFonts w:ascii="仿宋" w:hAnsi="仿宋" w:eastAsia="仿宋"/>
                <w:color w:val="000000"/>
                <w:kern w:val="0"/>
                <w:sz w:val="24"/>
              </w:rPr>
            </w:pPr>
            <w:r>
              <w:rPr>
                <w:rFonts w:hint="eastAsia" w:ascii="仿宋" w:hAnsi="仿宋" w:eastAsia="仿宋"/>
                <w:color w:val="000000"/>
                <w:kern w:val="0"/>
                <w:sz w:val="24"/>
                <w:lang w:val="en-US" w:eastAsia="zh-CN"/>
              </w:rPr>
              <w:t>技术</w:t>
            </w:r>
            <w:r>
              <w:rPr>
                <w:rFonts w:hint="eastAsia" w:ascii="仿宋" w:hAnsi="仿宋" w:eastAsia="仿宋"/>
                <w:color w:val="000000"/>
                <w:kern w:val="0"/>
                <w:sz w:val="24"/>
              </w:rPr>
              <w:t>负责人</w:t>
            </w:r>
          </w:p>
        </w:tc>
        <w:tc>
          <w:tcPr>
            <w:tcW w:w="1050" w:type="pct"/>
          </w:tcPr>
          <w:p>
            <w:pPr>
              <w:autoSpaceDE w:val="0"/>
              <w:autoSpaceDN w:val="0"/>
              <w:adjustRightInd w:val="0"/>
              <w:spacing w:line="480" w:lineRule="auto"/>
              <w:jc w:val="center"/>
              <w:rPr>
                <w:rFonts w:hint="default" w:ascii="仿宋" w:hAnsi="仿宋" w:eastAsia="仿宋"/>
                <w:color w:val="000000"/>
                <w:kern w:val="0"/>
                <w:sz w:val="24"/>
                <w:lang w:val="en-US" w:eastAsia="zh-CN"/>
              </w:rPr>
            </w:pPr>
          </w:p>
        </w:tc>
        <w:tc>
          <w:tcPr>
            <w:tcW w:w="1289" w:type="pct"/>
          </w:tcPr>
          <w:p>
            <w:pPr>
              <w:autoSpaceDE w:val="0"/>
              <w:autoSpaceDN w:val="0"/>
              <w:adjustRightInd w:val="0"/>
              <w:spacing w:line="480" w:lineRule="auto"/>
              <w:jc w:val="center"/>
              <w:rPr>
                <w:rFonts w:ascii="仿宋" w:hAnsi="仿宋" w:eastAsia="仿宋"/>
                <w:color w:val="000000"/>
                <w:kern w:val="0"/>
                <w:sz w:val="24"/>
              </w:rPr>
            </w:pPr>
          </w:p>
        </w:tc>
      </w:tr>
    </w:tbl>
    <w:p>
      <w:pPr>
        <w:spacing w:line="480" w:lineRule="auto"/>
        <w:rPr>
          <w:rFonts w:ascii="仿宋" w:hAnsi="仿宋" w:eastAsia="仿宋"/>
          <w:b/>
          <w:sz w:val="28"/>
          <w:szCs w:val="28"/>
        </w:rPr>
      </w:pPr>
      <w:r>
        <w:rPr>
          <w:rFonts w:hint="eastAsia" w:ascii="仿宋" w:hAnsi="仿宋" w:eastAsia="仿宋"/>
          <w:b/>
          <w:sz w:val="28"/>
          <w:szCs w:val="28"/>
        </w:rPr>
        <w:t>四、费用及付款方式：</w:t>
      </w:r>
    </w:p>
    <w:p>
      <w:pPr>
        <w:autoSpaceDE w:val="0"/>
        <w:autoSpaceDN w:val="0"/>
        <w:adjustRightInd w:val="0"/>
        <w:snapToGrid w:val="0"/>
        <w:spacing w:line="480" w:lineRule="auto"/>
        <w:ind w:firstLine="560" w:firstLineChars="200"/>
        <w:rPr>
          <w:rFonts w:hint="default" w:ascii="仿宋" w:hAnsi="仿宋" w:eastAsia="仿宋"/>
          <w:kern w:val="0"/>
          <w:sz w:val="28"/>
          <w:szCs w:val="28"/>
          <w:u w:val="single"/>
          <w:lang w:val="en-US" w:eastAsia="zh-CN"/>
        </w:rPr>
      </w:pPr>
      <w:r>
        <w:rPr>
          <w:rFonts w:hint="eastAsia" w:ascii="仿宋" w:hAnsi="仿宋" w:eastAsia="仿宋"/>
          <w:kern w:val="0"/>
          <w:sz w:val="28"/>
          <w:szCs w:val="28"/>
        </w:rPr>
        <w:t>1、本合同B</w:t>
      </w:r>
      <w:r>
        <w:rPr>
          <w:rFonts w:ascii="仿宋" w:hAnsi="仿宋" w:eastAsia="仿宋"/>
          <w:kern w:val="0"/>
          <w:sz w:val="28"/>
          <w:szCs w:val="28"/>
        </w:rPr>
        <w:t>IM</w:t>
      </w:r>
      <w:r>
        <w:rPr>
          <w:rFonts w:hint="eastAsia" w:ascii="仿宋" w:hAnsi="仿宋" w:eastAsia="仿宋"/>
          <w:kern w:val="0"/>
          <w:sz w:val="28"/>
          <w:szCs w:val="28"/>
        </w:rPr>
        <w:t>咨询服务合同价为人民币（大写）</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 xml:space="preserve">   元整</w:t>
      </w:r>
      <w:r>
        <w:rPr>
          <w:rFonts w:hint="eastAsia" w:ascii="仿宋" w:hAnsi="仿宋" w:eastAsia="仿宋"/>
          <w:kern w:val="0"/>
          <w:sz w:val="28"/>
          <w:szCs w:val="28"/>
          <w:u w:val="single"/>
        </w:rPr>
        <w:t xml:space="preserve">  </w:t>
      </w:r>
      <w:r>
        <w:rPr>
          <w:rFonts w:hint="eastAsia" w:ascii="仿宋" w:hAnsi="仿宋" w:eastAsia="仿宋"/>
          <w:kern w:val="0"/>
          <w:sz w:val="28"/>
          <w:szCs w:val="28"/>
        </w:rPr>
        <w:t>（</w:t>
      </w:r>
      <w:r>
        <w:rPr>
          <w:rFonts w:ascii="Calibri" w:hAnsi="Calibri" w:eastAsia="仿宋" w:cs="Calibri"/>
          <w:kern w:val="0"/>
          <w:sz w:val="28"/>
          <w:szCs w:val="28"/>
        </w:rPr>
        <w:t>¥</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元），此价款为增值税含税价格</w:t>
      </w:r>
      <w:r>
        <w:rPr>
          <w:rFonts w:hint="eastAsia" w:ascii="仿宋" w:hAnsi="仿宋" w:eastAsia="仿宋"/>
          <w:kern w:val="0"/>
          <w:sz w:val="28"/>
          <w:szCs w:val="28"/>
          <w:lang w:val="en-US" w:eastAsia="zh-CN"/>
        </w:rPr>
        <w:t>，</w:t>
      </w:r>
      <w:r>
        <w:rPr>
          <w:rFonts w:hint="eastAsia" w:ascii="仿宋" w:hAnsi="仿宋" w:eastAsia="仿宋"/>
          <w:kern w:val="0"/>
          <w:sz w:val="28"/>
          <w:szCs w:val="28"/>
          <w:u w:val="single"/>
          <w:lang w:val="en-US" w:eastAsia="zh-CN"/>
        </w:rPr>
        <w:t>增值税率  %。</w:t>
      </w:r>
    </w:p>
    <w:p>
      <w:pPr>
        <w:autoSpaceDE w:val="0"/>
        <w:autoSpaceDN w:val="0"/>
        <w:adjustRightInd w:val="0"/>
        <w:snapToGrid w:val="0"/>
        <w:spacing w:line="480" w:lineRule="auto"/>
        <w:ind w:firstLine="560" w:firstLineChars="200"/>
        <w:rPr>
          <w:rFonts w:hint="eastAsia" w:ascii="仿宋" w:hAnsi="仿宋" w:eastAsia="仿宋"/>
          <w:kern w:val="0"/>
          <w:sz w:val="28"/>
          <w:szCs w:val="28"/>
        </w:rPr>
      </w:pP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kern w:val="0"/>
          <w:sz w:val="28"/>
          <w:szCs w:val="28"/>
        </w:rPr>
        <w:t>咨询服务合同款双方同意按以下节点和比例支付：</w:t>
      </w:r>
    </w:p>
    <w:p>
      <w:pPr>
        <w:autoSpaceDE w:val="0"/>
        <w:autoSpaceDN w:val="0"/>
        <w:adjustRightInd w:val="0"/>
        <w:snapToGrid w:val="0"/>
        <w:spacing w:line="48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(1)合同签订后的第二个月，甲方支付乙方合同金额的20%；</w:t>
      </w:r>
    </w:p>
    <w:p>
      <w:pPr>
        <w:autoSpaceDE w:val="0"/>
        <w:autoSpaceDN w:val="0"/>
        <w:adjustRightInd w:val="0"/>
        <w:snapToGrid w:val="0"/>
        <w:spacing w:line="48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(2)完成本项目全部工作、工作成果（含获奖）经监理及 BIM 总体部审核验收后办理终期结算，次月30日之前支付至终期结算额的60%；</w:t>
      </w:r>
    </w:p>
    <w:p>
      <w:pPr>
        <w:autoSpaceDE w:val="0"/>
        <w:autoSpaceDN w:val="0"/>
        <w:adjustRightInd w:val="0"/>
        <w:snapToGrid w:val="0"/>
        <w:spacing w:line="48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(4)项目竣工验收合格后，付至终期结算金额的80%;</w:t>
      </w:r>
    </w:p>
    <w:p>
      <w:pPr>
        <w:autoSpaceDE w:val="0"/>
        <w:autoSpaceDN w:val="0"/>
        <w:adjustRightInd w:val="0"/>
        <w:snapToGrid w:val="0"/>
        <w:spacing w:line="48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(5)项目竣工验收合格一年后，付至终期结算金额的100%;</w:t>
      </w:r>
    </w:p>
    <w:p>
      <w:pPr>
        <w:autoSpaceDE w:val="0"/>
        <w:autoSpaceDN w:val="0"/>
        <w:adjustRightInd w:val="0"/>
        <w:snapToGrid w:val="0"/>
        <w:spacing w:line="480" w:lineRule="auto"/>
        <w:ind w:firstLine="560" w:firstLineChars="20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3、支付方式：采用银行电汇、应付账款保理融资（如E信通、交行信）、国内信用证等多种组合方式</w:t>
      </w:r>
    </w:p>
    <w:p>
      <w:pPr>
        <w:autoSpaceDE w:val="0"/>
        <w:autoSpaceDN w:val="0"/>
        <w:adjustRightInd w:val="0"/>
        <w:spacing w:line="48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、每次付款前，乙方需向甲方提供税务认可的增值税</w:t>
      </w:r>
      <w:r>
        <w:rPr>
          <w:rFonts w:hint="eastAsia" w:ascii="仿宋" w:hAnsi="仿宋" w:eastAsia="仿宋"/>
          <w:color w:val="000000"/>
          <w:sz w:val="28"/>
          <w:szCs w:val="28"/>
          <w:lang w:val="en-US" w:eastAsia="zh-CN"/>
        </w:rPr>
        <w:t>专用</w:t>
      </w:r>
      <w:r>
        <w:rPr>
          <w:rFonts w:hint="eastAsia" w:ascii="仿宋" w:hAnsi="仿宋" w:eastAsia="仿宋"/>
          <w:color w:val="000000"/>
          <w:sz w:val="28"/>
          <w:szCs w:val="28"/>
        </w:rPr>
        <w:t>发票，否则甲方有权拒绝付款并不承担任何违约责任，且乙方在合同项下的义务仍应照常履行。</w:t>
      </w:r>
      <w:r>
        <w:rPr>
          <w:rFonts w:hint="eastAsia" w:ascii="仿宋" w:hAnsi="仿宋" w:eastAsia="仿宋"/>
          <w:color w:val="000000"/>
          <w:sz w:val="28"/>
          <w:szCs w:val="28"/>
          <w:lang w:val="en-US" w:eastAsia="zh-CN"/>
        </w:rPr>
        <w:t>如甲方过程中付款逾期，乙方自愿放弃由此产生的利息。</w:t>
      </w:r>
    </w:p>
    <w:p>
      <w:pPr>
        <w:autoSpaceDE w:val="0"/>
        <w:autoSpaceDN w:val="0"/>
        <w:adjustRightInd w:val="0"/>
        <w:spacing w:line="48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、乙方开具发票所需甲方信息如下：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5"/>
        <w:gridCol w:w="5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账户名</w:t>
            </w:r>
          </w:p>
        </w:tc>
        <w:tc>
          <w:tcPr>
            <w:tcW w:w="5691" w:type="dxa"/>
          </w:tcPr>
          <w:p>
            <w:pPr>
              <w:autoSpaceDE w:val="0"/>
              <w:autoSpaceDN w:val="0"/>
              <w:adjustRightInd w:val="0"/>
              <w:spacing w:line="480" w:lineRule="auto"/>
              <w:rPr>
                <w:rFonts w:ascii="仿宋" w:hAnsi="仿宋" w:eastAsia="仿宋"/>
                <w:color w:val="000000"/>
                <w:kern w:val="0"/>
                <w:sz w:val="28"/>
                <w:szCs w:val="28"/>
              </w:rPr>
            </w:pPr>
            <w:r>
              <w:rPr>
                <w:rFonts w:hint="eastAsia" w:ascii="仿宋" w:hAnsi="仿宋" w:eastAsia="仿宋"/>
                <w:color w:val="000000"/>
                <w:kern w:val="0"/>
                <w:sz w:val="28"/>
                <w:szCs w:val="28"/>
              </w:rPr>
              <w:t>北京城建</w:t>
            </w:r>
            <w:r>
              <w:rPr>
                <w:rFonts w:hint="eastAsia" w:ascii="仿宋" w:hAnsi="仿宋" w:eastAsia="仿宋"/>
                <w:color w:val="000000"/>
                <w:kern w:val="0"/>
                <w:sz w:val="28"/>
                <w:szCs w:val="28"/>
                <w:lang w:val="en-US" w:eastAsia="zh-CN"/>
              </w:rPr>
              <w:t>远东建设投资</w:t>
            </w:r>
            <w:r>
              <w:rPr>
                <w:rFonts w:hint="eastAsia" w:ascii="仿宋" w:hAnsi="仿宋" w:eastAsia="仿宋"/>
                <w:color w:val="000000"/>
                <w:kern w:val="0"/>
                <w:sz w:val="28"/>
                <w:szCs w:val="28"/>
              </w:rPr>
              <w:t>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纳税人识别号</w:t>
            </w:r>
          </w:p>
        </w:tc>
        <w:tc>
          <w:tcPr>
            <w:tcW w:w="5691" w:type="dxa"/>
          </w:tcPr>
          <w:p>
            <w:pPr>
              <w:autoSpaceDE w:val="0"/>
              <w:autoSpaceDN w:val="0"/>
              <w:adjustRightInd w:val="0"/>
              <w:spacing w:line="480" w:lineRule="auto"/>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91110000101105143R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账号</w:t>
            </w:r>
          </w:p>
        </w:tc>
        <w:tc>
          <w:tcPr>
            <w:tcW w:w="5691" w:type="dxa"/>
          </w:tcPr>
          <w:p>
            <w:pPr>
              <w:autoSpaceDE w:val="0"/>
              <w:autoSpaceDN w:val="0"/>
              <w:adjustRightInd w:val="0"/>
              <w:spacing w:line="480" w:lineRule="auto"/>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11001028700056032543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开户行</w:t>
            </w:r>
          </w:p>
        </w:tc>
        <w:tc>
          <w:tcPr>
            <w:tcW w:w="5691" w:type="dxa"/>
          </w:tcPr>
          <w:p>
            <w:pPr>
              <w:autoSpaceDE w:val="0"/>
              <w:autoSpaceDN w:val="0"/>
              <w:adjustRightInd w:val="0"/>
              <w:spacing w:line="480" w:lineRule="auto"/>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 xml:space="preserve">中国建设银行北京北环支行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地址</w:t>
            </w:r>
          </w:p>
        </w:tc>
        <w:tc>
          <w:tcPr>
            <w:tcW w:w="5691" w:type="dxa"/>
          </w:tcPr>
          <w:p>
            <w:pPr>
              <w:autoSpaceDE w:val="0"/>
              <w:autoSpaceDN w:val="0"/>
              <w:adjustRightInd w:val="0"/>
              <w:spacing w:line="480" w:lineRule="auto"/>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北京市昌平区北七家镇燕丹3号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电话</w:t>
            </w:r>
          </w:p>
        </w:tc>
        <w:tc>
          <w:tcPr>
            <w:tcW w:w="5691" w:type="dxa"/>
          </w:tcPr>
          <w:p>
            <w:pPr>
              <w:autoSpaceDE w:val="0"/>
              <w:autoSpaceDN w:val="0"/>
              <w:adjustRightInd w:val="0"/>
              <w:spacing w:line="480" w:lineRule="auto"/>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010-81756472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其他</w:t>
            </w:r>
          </w:p>
        </w:tc>
        <w:tc>
          <w:tcPr>
            <w:tcW w:w="5691" w:type="dxa"/>
          </w:tcPr>
          <w:p>
            <w:pPr>
              <w:autoSpaceDE w:val="0"/>
              <w:autoSpaceDN w:val="0"/>
              <w:adjustRightInd w:val="0"/>
              <w:spacing w:line="480" w:lineRule="auto"/>
              <w:rPr>
                <w:rFonts w:hint="eastAsia" w:ascii="仿宋" w:hAnsi="仿宋" w:eastAsia="仿宋"/>
                <w:color w:val="000000"/>
                <w:kern w:val="0"/>
                <w:sz w:val="28"/>
                <w:szCs w:val="28"/>
                <w:lang w:val="en-US" w:eastAsia="zh-CN"/>
              </w:rPr>
            </w:pPr>
            <w:r>
              <w:rPr>
                <w:rFonts w:hint="eastAsia" w:ascii="仿宋" w:hAnsi="仿宋" w:eastAsia="仿宋"/>
                <w:color w:val="000000"/>
                <w:kern w:val="0"/>
                <w:sz w:val="28"/>
                <w:szCs w:val="28"/>
                <w:lang w:val="en-US" w:eastAsia="zh-CN"/>
              </w:rPr>
              <w:t>无</w:t>
            </w:r>
          </w:p>
        </w:tc>
      </w:tr>
    </w:tbl>
    <w:p>
      <w:pPr>
        <w:autoSpaceDE w:val="0"/>
        <w:autoSpaceDN w:val="0"/>
        <w:adjustRightInd w:val="0"/>
        <w:spacing w:line="480" w:lineRule="auto"/>
        <w:rPr>
          <w:rFonts w:ascii="仿宋" w:hAnsi="仿宋" w:eastAsia="仿宋"/>
          <w:color w:val="000000"/>
          <w:sz w:val="28"/>
          <w:szCs w:val="28"/>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、甲方向乙方支付服务费所需信息如下：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账户名</w:t>
            </w:r>
          </w:p>
        </w:tc>
        <w:tc>
          <w:tcPr>
            <w:tcW w:w="7138" w:type="dxa"/>
          </w:tcPr>
          <w:p>
            <w:pPr>
              <w:autoSpaceDE w:val="0"/>
              <w:autoSpaceDN w:val="0"/>
              <w:adjustRightInd w:val="0"/>
              <w:spacing w:line="480" w:lineRule="auto"/>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账号</w:t>
            </w:r>
          </w:p>
        </w:tc>
        <w:tc>
          <w:tcPr>
            <w:tcW w:w="7138" w:type="dxa"/>
          </w:tcPr>
          <w:p>
            <w:pPr>
              <w:autoSpaceDE w:val="0"/>
              <w:autoSpaceDN w:val="0"/>
              <w:adjustRightInd w:val="0"/>
              <w:spacing w:line="480" w:lineRule="auto"/>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开户行</w:t>
            </w:r>
          </w:p>
        </w:tc>
        <w:tc>
          <w:tcPr>
            <w:tcW w:w="7138" w:type="dxa"/>
            <w:vAlign w:val="center"/>
          </w:tcPr>
          <w:p>
            <w:pPr>
              <w:jc w:val="both"/>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地址</w:t>
            </w:r>
          </w:p>
        </w:tc>
        <w:tc>
          <w:tcPr>
            <w:tcW w:w="7138" w:type="dxa"/>
          </w:tcPr>
          <w:p>
            <w:pPr>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Pr>
          <w:p>
            <w:pPr>
              <w:autoSpaceDE w:val="0"/>
              <w:autoSpaceDN w:val="0"/>
              <w:adjustRightInd w:val="0"/>
              <w:spacing w:line="480" w:lineRule="auto"/>
              <w:jc w:val="center"/>
              <w:rPr>
                <w:rFonts w:ascii="仿宋" w:hAnsi="仿宋" w:eastAsia="仿宋"/>
                <w:color w:val="000000"/>
                <w:kern w:val="0"/>
                <w:sz w:val="28"/>
                <w:szCs w:val="28"/>
              </w:rPr>
            </w:pPr>
            <w:r>
              <w:rPr>
                <w:rFonts w:hint="eastAsia" w:ascii="仿宋" w:hAnsi="仿宋" w:eastAsia="仿宋"/>
                <w:color w:val="000000"/>
                <w:kern w:val="0"/>
                <w:sz w:val="28"/>
                <w:szCs w:val="28"/>
              </w:rPr>
              <w:t>其他</w:t>
            </w:r>
          </w:p>
        </w:tc>
        <w:tc>
          <w:tcPr>
            <w:tcW w:w="7138" w:type="dxa"/>
          </w:tcPr>
          <w:p>
            <w:pPr>
              <w:autoSpaceDE w:val="0"/>
              <w:autoSpaceDN w:val="0"/>
              <w:adjustRightInd w:val="0"/>
              <w:spacing w:line="480" w:lineRule="auto"/>
              <w:rPr>
                <w:rFonts w:ascii="仿宋" w:hAnsi="仿宋" w:eastAsia="仿宋"/>
                <w:color w:val="000000"/>
                <w:kern w:val="0"/>
                <w:sz w:val="28"/>
                <w:szCs w:val="28"/>
              </w:rPr>
            </w:pPr>
          </w:p>
        </w:tc>
      </w:tr>
    </w:tbl>
    <w:p>
      <w:pPr>
        <w:spacing w:line="480" w:lineRule="auto"/>
        <w:rPr>
          <w:rFonts w:ascii="仿宋" w:hAnsi="仿宋" w:eastAsia="仿宋"/>
          <w:b/>
          <w:sz w:val="28"/>
          <w:szCs w:val="28"/>
        </w:rPr>
      </w:pPr>
      <w:r>
        <w:rPr>
          <w:rFonts w:hint="eastAsia" w:ascii="仿宋" w:hAnsi="仿宋" w:eastAsia="仿宋"/>
          <w:b/>
          <w:sz w:val="28"/>
          <w:szCs w:val="28"/>
        </w:rPr>
        <w:t>*以上信息由甲乙双方自己填写，如因对方信息填写错误，造成开票或付款错误，造成的后果责任由对方承担。</w:t>
      </w:r>
    </w:p>
    <w:p>
      <w:pPr>
        <w:spacing w:line="480" w:lineRule="auto"/>
        <w:rPr>
          <w:rFonts w:ascii="仿宋" w:hAnsi="仿宋" w:eastAsia="仿宋"/>
          <w:b/>
          <w:sz w:val="28"/>
          <w:szCs w:val="28"/>
        </w:rPr>
      </w:pPr>
      <w:r>
        <w:rPr>
          <w:rFonts w:hint="eastAsia" w:ascii="仿宋" w:hAnsi="仿宋" w:eastAsia="仿宋"/>
          <w:b/>
          <w:sz w:val="28"/>
          <w:szCs w:val="28"/>
        </w:rPr>
        <w:t>五、服务</w:t>
      </w:r>
      <w:r>
        <w:rPr>
          <w:rFonts w:ascii="仿宋" w:hAnsi="仿宋" w:eastAsia="仿宋"/>
          <w:b/>
          <w:sz w:val="28"/>
          <w:szCs w:val="28"/>
        </w:rPr>
        <w:t>质量标准</w:t>
      </w:r>
    </w:p>
    <w:p>
      <w:pPr>
        <w:autoSpaceDE w:val="0"/>
        <w:autoSpaceDN w:val="0"/>
        <w:adjustRightInd w:val="0"/>
        <w:spacing w:line="48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1、依据甲方提供的施工图纸与资料文档；</w:t>
      </w:r>
    </w:p>
    <w:p>
      <w:pPr>
        <w:autoSpaceDE w:val="0"/>
        <w:autoSpaceDN w:val="0"/>
        <w:adjustRightInd w:val="0"/>
        <w:spacing w:line="48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2、甲方提供的建模标准进行制作。</w:t>
      </w:r>
    </w:p>
    <w:p>
      <w:pPr>
        <w:autoSpaceDE w:val="0"/>
        <w:autoSpaceDN w:val="0"/>
        <w:adjustRightInd w:val="0"/>
        <w:snapToGrid w:val="0"/>
        <w:spacing w:line="480" w:lineRule="auto"/>
        <w:rPr>
          <w:rFonts w:ascii="仿宋" w:hAnsi="仿宋" w:eastAsia="仿宋"/>
          <w:b/>
          <w:bCs/>
          <w:kern w:val="0"/>
          <w:sz w:val="28"/>
          <w:szCs w:val="28"/>
        </w:rPr>
      </w:pPr>
      <w:bookmarkStart w:id="2" w:name="_Toc416038134"/>
      <w:bookmarkStart w:id="3" w:name="_Toc424790455"/>
      <w:r>
        <w:rPr>
          <w:rFonts w:hint="eastAsia" w:ascii="仿宋" w:hAnsi="仿宋" w:eastAsia="仿宋"/>
          <w:b/>
          <w:bCs/>
          <w:kern w:val="0"/>
          <w:sz w:val="28"/>
          <w:szCs w:val="28"/>
        </w:rPr>
        <w:t>六、甲方的权利和义务</w:t>
      </w:r>
    </w:p>
    <w:p>
      <w:pPr>
        <w:autoSpaceDE w:val="0"/>
        <w:autoSpaceDN w:val="0"/>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1、甲方应当向乙方提供与BIM技术应用有关的资料，包括不限于各类图纸和方案、施工进度计划、关键工艺工序节点的技术方案资料、相关设备参数资料。</w:t>
      </w:r>
    </w:p>
    <w:p>
      <w:pPr>
        <w:autoSpaceDE w:val="0"/>
        <w:autoSpaceDN w:val="0"/>
        <w:adjustRightInd w:val="0"/>
        <w:snapToGrid w:val="0"/>
        <w:spacing w:line="360" w:lineRule="auto"/>
        <w:ind w:firstLine="560" w:firstLineChars="200"/>
        <w:rPr>
          <w:rFonts w:ascii="仿宋" w:hAnsi="仿宋" w:eastAsia="仿宋"/>
          <w:kern w:val="0"/>
          <w:sz w:val="28"/>
          <w:szCs w:val="28"/>
        </w:rPr>
      </w:pPr>
      <w:r>
        <w:rPr>
          <w:rFonts w:ascii="仿宋" w:hAnsi="仿宋" w:eastAsia="仿宋"/>
          <w:kern w:val="0"/>
          <w:sz w:val="28"/>
          <w:szCs w:val="28"/>
        </w:rPr>
        <w:t>2</w:t>
      </w:r>
      <w:r>
        <w:rPr>
          <w:rFonts w:hint="eastAsia" w:ascii="仿宋" w:hAnsi="仿宋" w:eastAsia="仿宋"/>
          <w:kern w:val="0"/>
          <w:sz w:val="28"/>
          <w:szCs w:val="28"/>
        </w:rPr>
        <w:t>、甲方应当授权一名熟悉本工程情况、能迅速做出决定的代表人，负责与乙方的工作机构联系。</w:t>
      </w:r>
    </w:p>
    <w:p>
      <w:pPr>
        <w:autoSpaceDE w:val="0"/>
        <w:autoSpaceDN w:val="0"/>
        <w:adjustRightInd w:val="0"/>
        <w:snapToGrid w:val="0"/>
        <w:spacing w:line="480" w:lineRule="auto"/>
        <w:ind w:firstLine="560" w:firstLineChars="200"/>
        <w:rPr>
          <w:rFonts w:ascii="仿宋" w:hAnsi="仿宋" w:eastAsia="仿宋"/>
          <w:kern w:val="0"/>
          <w:sz w:val="28"/>
          <w:szCs w:val="28"/>
        </w:rPr>
      </w:pPr>
      <w:r>
        <w:rPr>
          <w:rFonts w:hint="eastAsia" w:ascii="仿宋" w:hAnsi="仿宋" w:eastAsia="仿宋"/>
          <w:kern w:val="0"/>
          <w:sz w:val="28"/>
          <w:szCs w:val="28"/>
          <w:lang w:val="en-US" w:eastAsia="zh-CN"/>
        </w:rPr>
        <w:t>3</w:t>
      </w:r>
      <w:r>
        <w:rPr>
          <w:rFonts w:hint="eastAsia" w:ascii="仿宋" w:hAnsi="仿宋" w:eastAsia="仿宋"/>
          <w:kern w:val="0"/>
          <w:sz w:val="28"/>
          <w:szCs w:val="28"/>
        </w:rPr>
        <w:t>、甲方对本合同服务范围内的BIM技术服务过程及成果有知情权和建议权，对甲方因此提出的有关要求，乙方应积极提供相应BIM技术服务过程和成果的有关资料。</w:t>
      </w:r>
    </w:p>
    <w:p>
      <w:pPr>
        <w:autoSpaceDE w:val="0"/>
        <w:autoSpaceDN w:val="0"/>
        <w:adjustRightInd w:val="0"/>
        <w:snapToGrid w:val="0"/>
        <w:spacing w:line="480" w:lineRule="auto"/>
        <w:rPr>
          <w:rFonts w:ascii="仿宋" w:hAnsi="仿宋" w:eastAsia="仿宋"/>
          <w:b/>
          <w:bCs/>
          <w:kern w:val="0"/>
          <w:sz w:val="28"/>
          <w:szCs w:val="28"/>
        </w:rPr>
      </w:pPr>
      <w:r>
        <w:rPr>
          <w:rFonts w:hint="eastAsia" w:ascii="仿宋" w:hAnsi="仿宋" w:eastAsia="仿宋"/>
          <w:b/>
          <w:bCs/>
          <w:kern w:val="0"/>
          <w:sz w:val="28"/>
          <w:szCs w:val="28"/>
        </w:rPr>
        <w:t>七、乙方的权利和义务</w:t>
      </w:r>
    </w:p>
    <w:bookmarkEnd w:id="2"/>
    <w:bookmarkEnd w:id="3"/>
    <w:p>
      <w:pPr>
        <w:autoSpaceDE w:val="0"/>
        <w:autoSpaceDN w:val="0"/>
        <w:adjustRightInd w:val="0"/>
        <w:snapToGrid w:val="0"/>
        <w:spacing w:line="360" w:lineRule="auto"/>
        <w:ind w:left="1"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1、</w:t>
      </w:r>
      <w:r>
        <w:rPr>
          <w:rFonts w:hint="eastAsia" w:ascii="仿宋" w:hAnsi="仿宋" w:eastAsia="仿宋"/>
          <w:kern w:val="0"/>
          <w:sz w:val="28"/>
          <w:szCs w:val="28"/>
          <w:lang w:eastAsia="zh-CN"/>
        </w:rPr>
        <w:t>合同签订后，乙方应尽快（</w:t>
      </w:r>
      <w:r>
        <w:rPr>
          <w:rFonts w:hint="eastAsia" w:ascii="仿宋" w:hAnsi="仿宋" w:eastAsia="仿宋"/>
          <w:kern w:val="0"/>
          <w:sz w:val="28"/>
          <w:szCs w:val="28"/>
          <w:lang w:val="en-US" w:eastAsia="zh-CN"/>
        </w:rPr>
        <w:t>48小时内</w:t>
      </w:r>
      <w:r>
        <w:rPr>
          <w:rFonts w:hint="eastAsia" w:ascii="仿宋" w:hAnsi="仿宋" w:eastAsia="仿宋"/>
          <w:kern w:val="0"/>
          <w:sz w:val="28"/>
          <w:szCs w:val="28"/>
          <w:lang w:eastAsia="zh-CN"/>
        </w:rPr>
        <w:t>）安排人员，并按合同约定的工作内容开展工作，应指定专人（代表）负责和甲方沟通与协调，</w:t>
      </w:r>
      <w:r>
        <w:rPr>
          <w:rFonts w:hint="eastAsia" w:ascii="仿宋" w:hAnsi="仿宋" w:eastAsia="仿宋"/>
          <w:kern w:val="0"/>
          <w:sz w:val="28"/>
          <w:szCs w:val="28"/>
          <w:lang w:val="en-US" w:eastAsia="zh-CN"/>
        </w:rPr>
        <w:t>并在40天内完成全部服务内容。</w:t>
      </w:r>
      <w:r>
        <w:rPr>
          <w:rFonts w:hint="eastAsia" w:ascii="仿宋" w:hAnsi="仿宋" w:eastAsia="仿宋"/>
          <w:kern w:val="0"/>
          <w:sz w:val="28"/>
          <w:szCs w:val="28"/>
          <w:lang w:eastAsia="zh-CN"/>
        </w:rPr>
        <w:t>乙方派出的技术服务人员应严格执行国家有关法律和工作纪律。</w:t>
      </w:r>
    </w:p>
    <w:p>
      <w:pPr>
        <w:autoSpaceDE w:val="0"/>
        <w:autoSpaceDN w:val="0"/>
        <w:adjustRightInd w:val="0"/>
        <w:snapToGrid w:val="0"/>
        <w:spacing w:line="360" w:lineRule="auto"/>
        <w:ind w:left="1" w:firstLine="560" w:firstLineChars="200"/>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乙方具有与工程建设有关事项知情权和建议权。</w:t>
      </w:r>
    </w:p>
    <w:p>
      <w:pPr>
        <w:autoSpaceDE w:val="0"/>
        <w:autoSpaceDN w:val="0"/>
        <w:adjustRightInd w:val="0"/>
        <w:snapToGrid w:val="0"/>
        <w:spacing w:line="360" w:lineRule="auto"/>
        <w:ind w:left="1" w:firstLine="560" w:firstLineChars="200"/>
        <w:rPr>
          <w:rFonts w:hint="eastAsia" w:ascii="仿宋" w:hAnsi="仿宋" w:eastAsia="仿宋"/>
          <w:kern w:val="0"/>
          <w:sz w:val="28"/>
          <w:szCs w:val="28"/>
        </w:rPr>
      </w:pPr>
      <w:r>
        <w:rPr>
          <w:rFonts w:hint="eastAsia" w:ascii="仿宋" w:hAnsi="仿宋" w:eastAsia="仿宋"/>
          <w:kern w:val="0"/>
          <w:sz w:val="28"/>
          <w:szCs w:val="28"/>
          <w:lang w:val="en-US" w:eastAsia="zh-CN"/>
        </w:rPr>
        <w:t>3</w:t>
      </w:r>
      <w:r>
        <w:rPr>
          <w:rFonts w:hint="eastAsia" w:ascii="仿宋" w:hAnsi="仿宋" w:eastAsia="仿宋"/>
          <w:kern w:val="0"/>
          <w:sz w:val="28"/>
          <w:szCs w:val="28"/>
        </w:rPr>
        <w:t>、乙方在工程建设过程中具备有关技术管理事项的组织协调权，但须事先征得甲方同意。</w:t>
      </w:r>
    </w:p>
    <w:p>
      <w:pPr>
        <w:autoSpaceDE w:val="0"/>
        <w:autoSpaceDN w:val="0"/>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lang w:val="en-US" w:eastAsia="zh-CN"/>
        </w:rPr>
        <w:t>4、</w:t>
      </w:r>
      <w:r>
        <w:rPr>
          <w:rFonts w:hint="eastAsia" w:ascii="仿宋" w:hAnsi="仿宋" w:eastAsia="仿宋"/>
          <w:kern w:val="0"/>
          <w:sz w:val="28"/>
          <w:szCs w:val="28"/>
          <w:lang w:eastAsia="zh-CN"/>
        </w:rPr>
        <w:t>由于甲方原因造成成果延时交付，乙方交付成果的时间相应顺延。由于乙方原因造成成果延时交付，每逾期一天，应支付合同额的千分之二的逾期违约金，但违约金总额不超过合同额的10%。</w:t>
      </w:r>
    </w:p>
    <w:p>
      <w:pPr>
        <w:autoSpaceDE w:val="0"/>
        <w:autoSpaceDN w:val="0"/>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lang w:val="en-US" w:eastAsia="zh-CN"/>
        </w:rPr>
        <w:t>5</w:t>
      </w:r>
      <w:r>
        <w:rPr>
          <w:rFonts w:hint="eastAsia" w:ascii="仿宋" w:hAnsi="仿宋" w:eastAsia="仿宋"/>
          <w:kern w:val="0"/>
          <w:sz w:val="28"/>
          <w:szCs w:val="28"/>
        </w:rPr>
        <w:t>、乙方</w:t>
      </w:r>
      <w:r>
        <w:rPr>
          <w:rFonts w:ascii="仿宋" w:hAnsi="仿宋" w:eastAsia="仿宋"/>
          <w:kern w:val="0"/>
          <w:sz w:val="28"/>
          <w:szCs w:val="28"/>
        </w:rPr>
        <w:t>应当按照法律规定及合同约定组织完成</w:t>
      </w:r>
      <w:r>
        <w:rPr>
          <w:rFonts w:hint="eastAsia" w:ascii="仿宋" w:hAnsi="仿宋" w:eastAsia="仿宋"/>
          <w:kern w:val="0"/>
          <w:sz w:val="28"/>
          <w:szCs w:val="28"/>
        </w:rPr>
        <w:t>本</w:t>
      </w:r>
      <w:r>
        <w:rPr>
          <w:rFonts w:ascii="仿宋" w:hAnsi="仿宋" w:eastAsia="仿宋"/>
          <w:kern w:val="0"/>
          <w:sz w:val="28"/>
          <w:szCs w:val="28"/>
        </w:rPr>
        <w:t>工程</w:t>
      </w:r>
      <w:r>
        <w:rPr>
          <w:rFonts w:hint="eastAsia" w:ascii="仿宋" w:hAnsi="仿宋" w:eastAsia="仿宋"/>
          <w:kern w:val="0"/>
          <w:sz w:val="28"/>
          <w:szCs w:val="28"/>
        </w:rPr>
        <w:t>的BIM咨询、建模工作</w:t>
      </w:r>
      <w:r>
        <w:rPr>
          <w:rFonts w:ascii="仿宋" w:hAnsi="仿宋" w:eastAsia="仿宋"/>
          <w:kern w:val="0"/>
          <w:sz w:val="28"/>
          <w:szCs w:val="28"/>
        </w:rPr>
        <w:t>，确保模型及</w:t>
      </w:r>
      <w:r>
        <w:rPr>
          <w:rFonts w:hint="eastAsia" w:ascii="仿宋" w:hAnsi="仿宋" w:eastAsia="仿宋"/>
          <w:kern w:val="0"/>
          <w:sz w:val="28"/>
          <w:szCs w:val="28"/>
        </w:rPr>
        <w:t>成果满足本工程投标要求和BIM应用的技术要求。</w:t>
      </w:r>
    </w:p>
    <w:p>
      <w:pPr>
        <w:autoSpaceDE w:val="0"/>
        <w:autoSpaceDN w:val="0"/>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lang w:val="en-US" w:eastAsia="zh-CN"/>
        </w:rPr>
        <w:t>7</w:t>
      </w:r>
      <w:r>
        <w:rPr>
          <w:rFonts w:hint="eastAsia" w:ascii="仿宋" w:hAnsi="仿宋" w:eastAsia="仿宋"/>
          <w:kern w:val="0"/>
          <w:sz w:val="28"/>
          <w:szCs w:val="28"/>
        </w:rPr>
        <w:t>、乙方完成咨询、建模服务后，应向甲方归还与BIM技术应用有关的资料和成果，包括不限于各类图纸和方案、施工进度计划、关键工艺工序节点的技术方案资料、相关设备参数资料，以及合同中约定无偿使用的有关办公软硬件。</w:t>
      </w:r>
    </w:p>
    <w:p>
      <w:pPr>
        <w:autoSpaceDE w:val="0"/>
        <w:autoSpaceDN w:val="0"/>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8、乙方需保证按照甲方的要求获得奖项。如因乙方原因造成项目未获得要求奖项，乙方承诺结算让利40%。</w:t>
      </w:r>
    </w:p>
    <w:p>
      <w:pPr>
        <w:pStyle w:val="2"/>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9、本合同单价包含多次往复修改费用；包括模型、视频、方案等；在上述成果基础上配合报奖参赛视频作品的免费制作；必要情况下，可由甲方指派人员监督、指点过程中的任务成果；视整体任务量可额外分别增加多个子任务，如多张渲染图，多个小视频，多个基于BIM的专项方案。</w:t>
      </w:r>
    </w:p>
    <w:p>
      <w:pPr>
        <w:pStyle w:val="2"/>
        <w:rPr>
          <w:rFonts w:hint="default"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10、乙方自愿放弃甲方逾期付款的利息费用。</w:t>
      </w:r>
    </w:p>
    <w:p>
      <w:pPr>
        <w:spacing w:line="480" w:lineRule="auto"/>
        <w:rPr>
          <w:rFonts w:ascii="仿宋" w:hAnsi="仿宋" w:eastAsia="仿宋"/>
          <w:b/>
          <w:sz w:val="28"/>
          <w:szCs w:val="28"/>
        </w:rPr>
      </w:pPr>
      <w:r>
        <w:rPr>
          <w:rFonts w:hint="eastAsia" w:ascii="仿宋" w:hAnsi="仿宋" w:eastAsia="仿宋"/>
          <w:b/>
          <w:sz w:val="28"/>
          <w:szCs w:val="28"/>
        </w:rPr>
        <w:t>八、合同变更和终止</w:t>
      </w:r>
    </w:p>
    <w:p>
      <w:pPr>
        <w:spacing w:line="480" w:lineRule="auto"/>
        <w:ind w:firstLine="560" w:firstLineChars="200"/>
        <w:rPr>
          <w:rFonts w:ascii="仿宋" w:hAnsi="仿宋" w:eastAsia="仿宋"/>
          <w:sz w:val="28"/>
          <w:szCs w:val="28"/>
        </w:rPr>
      </w:pPr>
      <w:r>
        <w:rPr>
          <w:rFonts w:hint="eastAsia" w:ascii="仿宋" w:hAnsi="仿宋" w:eastAsia="仿宋"/>
          <w:sz w:val="28"/>
          <w:szCs w:val="28"/>
        </w:rPr>
        <w:t>1、当双方任何一方提出申请并经对方书面同意后，可对本合同进行变更。任意一方未书面同意前，不能影响工作继续进行。</w:t>
      </w:r>
      <w:r>
        <w:rPr>
          <w:rFonts w:ascii="仿宋" w:hAnsi="仿宋" w:eastAsia="仿宋"/>
          <w:sz w:val="28"/>
          <w:szCs w:val="28"/>
        </w:rPr>
        <w:t>合同未尽事宜，合同当事人另行签订补充协议</w:t>
      </w:r>
      <w:r>
        <w:rPr>
          <w:rFonts w:hint="eastAsia" w:ascii="仿宋" w:hAnsi="仿宋" w:eastAsia="仿宋"/>
          <w:sz w:val="28"/>
          <w:szCs w:val="28"/>
        </w:rPr>
        <w:t>，</w:t>
      </w:r>
      <w:r>
        <w:rPr>
          <w:rFonts w:ascii="仿宋" w:hAnsi="仿宋" w:eastAsia="仿宋"/>
          <w:sz w:val="28"/>
          <w:szCs w:val="28"/>
        </w:rPr>
        <w:t>补充协议是合同的组成部分。</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2、甲方如果要求乙方全部或部分暂停执行服务或终止委托合同，则应提前三日通知乙方，甲方应当立即安排停止执行相关服务。</w:t>
      </w:r>
    </w:p>
    <w:p>
      <w:pPr>
        <w:autoSpaceDE w:val="0"/>
        <w:autoSpaceDN w:val="0"/>
        <w:adjustRightInd w:val="0"/>
        <w:snapToGrid w:val="0"/>
        <w:spacing w:line="480" w:lineRule="auto"/>
        <w:rPr>
          <w:rFonts w:ascii="仿宋" w:hAnsi="仿宋" w:eastAsia="仿宋"/>
          <w:b/>
          <w:sz w:val="28"/>
          <w:szCs w:val="28"/>
        </w:rPr>
      </w:pPr>
      <w:r>
        <w:rPr>
          <w:rFonts w:hint="eastAsia" w:ascii="仿宋" w:hAnsi="仿宋" w:eastAsia="仿宋"/>
          <w:b/>
          <w:sz w:val="28"/>
          <w:szCs w:val="28"/>
        </w:rPr>
        <w:t>九、违约和追溯</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1、当甲方认为乙方无正当理由而又未按合同约定履行合同义务时，可向乙方人发出说明其未履行义务的通知。若甲方发出通知后五日内乙方未有正式反馈，甲方即可发出终止委托服务合同的通知，委托服务合同即行终止，甲方根据损失情况保留向乙方追究合同赔偿款的权利。</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2、当乙方认为甲方无正当理由而又未按合同约定履行合同义务时，可向甲方发出说明其未履行义务的通知。若乙方发出通知后五日内甲方未有正式反馈，乙方即可发出终止委托服务合同的通知，委托服务合同即行终止，乙方根据损失情况保留向甲方追究合同赔偿款的权利，赔偿金额不得超过合同总金额。</w:t>
      </w:r>
    </w:p>
    <w:p>
      <w:pPr>
        <w:autoSpaceDE w:val="0"/>
        <w:autoSpaceDN w:val="0"/>
        <w:adjustRightInd w:val="0"/>
        <w:snapToGrid w:val="0"/>
        <w:spacing w:line="48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出现委托服务终止情况，甲方已支付的合同价款不再返还，乙方已完成并经双方确认成果的工作内容应按合同价款予以支付，未完成的工作成果或未经双方确认的工作成果合同价款不再支付，双方互不承担违约责任。</w:t>
      </w:r>
    </w:p>
    <w:p>
      <w:pPr>
        <w:autoSpaceDE w:val="0"/>
        <w:autoSpaceDN w:val="0"/>
        <w:adjustRightInd w:val="0"/>
        <w:snapToGrid w:val="0"/>
        <w:spacing w:line="480" w:lineRule="auto"/>
        <w:ind w:firstLine="560" w:firstLineChars="200"/>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、本合同的终止不影响双方对合同履行期间合同责任的追溯。</w:t>
      </w:r>
    </w:p>
    <w:p>
      <w:pPr>
        <w:pStyle w:val="2"/>
        <w:ind w:firstLine="480"/>
      </w:pPr>
      <w:r>
        <w:rPr>
          <w:rFonts w:hint="eastAsia" w:ascii="仿宋" w:hAnsi="仿宋" w:eastAsia="仿宋" w:cs="Times New Roman"/>
          <w:kern w:val="2"/>
          <w:sz w:val="28"/>
          <w:szCs w:val="28"/>
          <w:lang w:val="en-US" w:eastAsia="zh-CN" w:bidi="ar-SA"/>
        </w:rPr>
        <w:t>5、乙方须保证在规定的时间节点内完成所有委托项目并通过验收，如因乙方原因导致验收未通过，甲方将追究乙方因此项违约给甲方造成损失的权利。</w:t>
      </w:r>
    </w:p>
    <w:p>
      <w:pPr>
        <w:autoSpaceDE w:val="0"/>
        <w:autoSpaceDN w:val="0"/>
        <w:adjustRightInd w:val="0"/>
        <w:snapToGrid w:val="0"/>
        <w:spacing w:line="480" w:lineRule="auto"/>
        <w:rPr>
          <w:rFonts w:ascii="仿宋" w:hAnsi="仿宋" w:eastAsia="仿宋"/>
          <w:b/>
          <w:sz w:val="28"/>
          <w:szCs w:val="28"/>
        </w:rPr>
      </w:pPr>
      <w:bookmarkStart w:id="4" w:name="_Toc416345565"/>
      <w:bookmarkStart w:id="5" w:name="_Toc424790461"/>
      <w:bookmarkStart w:id="6" w:name="_Toc351203489"/>
      <w:r>
        <w:rPr>
          <w:rFonts w:ascii="仿宋" w:hAnsi="仿宋" w:eastAsia="仿宋"/>
          <w:b/>
          <w:sz w:val="28"/>
          <w:szCs w:val="28"/>
        </w:rPr>
        <w:t>十、</w:t>
      </w:r>
      <w:r>
        <w:rPr>
          <w:rFonts w:hint="eastAsia" w:ascii="仿宋" w:hAnsi="仿宋" w:eastAsia="仿宋"/>
          <w:b/>
          <w:sz w:val="28"/>
          <w:szCs w:val="28"/>
        </w:rPr>
        <w:t>合同争议处理</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在履行本合同过程中发生的争议，合同产生的争议解释权归甲方所有</w:t>
      </w:r>
      <w:r>
        <w:rPr>
          <w:rFonts w:hint="eastAsia" w:ascii="仿宋" w:hAnsi="仿宋" w:eastAsia="仿宋"/>
          <w:sz w:val="28"/>
          <w:szCs w:val="28"/>
          <w:lang w:eastAsia="zh-CN"/>
        </w:rPr>
        <w:t>，乙方不服解释权的，</w:t>
      </w:r>
      <w:r>
        <w:rPr>
          <w:rFonts w:hint="eastAsia" w:ascii="仿宋" w:hAnsi="仿宋" w:eastAsia="仿宋"/>
          <w:sz w:val="28"/>
          <w:szCs w:val="28"/>
        </w:rPr>
        <w:t>当事人双方可以通过和解或者调解解决。当事人不愿和解、调解或者和解、调解不成的，向甲方所在地有管辖权的人民法院提起诉讼，以诉讼方式解决。</w:t>
      </w:r>
    </w:p>
    <w:p>
      <w:pPr>
        <w:autoSpaceDE w:val="0"/>
        <w:autoSpaceDN w:val="0"/>
        <w:adjustRightInd w:val="0"/>
        <w:snapToGrid w:val="0"/>
        <w:spacing w:line="480" w:lineRule="auto"/>
        <w:rPr>
          <w:rFonts w:ascii="仿宋" w:hAnsi="仿宋" w:eastAsia="仿宋"/>
          <w:sz w:val="28"/>
          <w:szCs w:val="28"/>
        </w:rPr>
      </w:pPr>
      <w:r>
        <w:rPr>
          <w:rFonts w:ascii="仿宋" w:hAnsi="仿宋" w:eastAsia="仿宋"/>
          <w:b/>
          <w:sz w:val="28"/>
          <w:szCs w:val="28"/>
        </w:rPr>
        <w:t>十</w:t>
      </w:r>
      <w:r>
        <w:rPr>
          <w:rFonts w:hint="eastAsia" w:ascii="仿宋" w:hAnsi="仿宋" w:eastAsia="仿宋"/>
          <w:b/>
          <w:sz w:val="28"/>
          <w:szCs w:val="28"/>
        </w:rPr>
        <w:t>一</w:t>
      </w:r>
      <w:r>
        <w:rPr>
          <w:rFonts w:ascii="仿宋" w:hAnsi="仿宋" w:eastAsia="仿宋"/>
          <w:b/>
          <w:sz w:val="28"/>
          <w:szCs w:val="28"/>
        </w:rPr>
        <w:t>、</w:t>
      </w:r>
      <w:r>
        <w:rPr>
          <w:rFonts w:hint="eastAsia" w:ascii="仿宋" w:hAnsi="仿宋" w:eastAsia="仿宋"/>
          <w:b/>
          <w:sz w:val="28"/>
          <w:szCs w:val="28"/>
        </w:rPr>
        <w:t>知识产权</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 xml:space="preserve">1、除合同另有规定外，甲方提供给乙方的图纸、电子文件，甲方为实施工程自行编制或委托编制的技术文件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 </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2、除甲方书面同意外，乙方不得将实施工程所建立的建筑信息模型、各类成果、报告及电子文件，用于各类评奖、比赛、公司内部交流学习及在公司网站和宣传手册上宣传。</w:t>
      </w:r>
    </w:p>
    <w:p>
      <w:pPr>
        <w:autoSpaceDE w:val="0"/>
        <w:autoSpaceDN w:val="0"/>
        <w:adjustRightInd w:val="0"/>
        <w:snapToGrid w:val="0"/>
        <w:spacing w:line="480" w:lineRule="auto"/>
        <w:ind w:firstLine="560" w:firstLineChars="200"/>
        <w:rPr>
          <w:rFonts w:hint="eastAsia" w:ascii="仿宋" w:hAnsi="仿宋" w:eastAsia="仿宋"/>
          <w:sz w:val="28"/>
          <w:szCs w:val="28"/>
        </w:rPr>
      </w:pPr>
      <w:r>
        <w:rPr>
          <w:rFonts w:hint="eastAsia" w:ascii="仿宋" w:hAnsi="仿宋" w:eastAsia="仿宋"/>
          <w:sz w:val="28"/>
          <w:szCs w:val="28"/>
        </w:rPr>
        <w:t xml:space="preserve">3、合同当事人保证在履行合同过程中不侵犯对方及第三方的知识产权。乙方在进行服务时，使用的自己的有关软件、硬件、其他电子文件及报告，因侵犯他人的专利权或其他知识产权所引起的责任，由乙方承担；因甲方提供的电子文件、模型、图纸、设计成果等导致侵权的，由甲方承担责任。 </w:t>
      </w:r>
    </w:p>
    <w:p>
      <w:pPr>
        <w:autoSpaceDE w:val="0"/>
        <w:autoSpaceDN w:val="0"/>
        <w:adjustRightInd w:val="0"/>
        <w:snapToGrid w:val="0"/>
        <w:spacing w:line="48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本合同项下无论是部分还是全部权益不得转让给第三方</w:t>
      </w:r>
      <w:r>
        <w:rPr>
          <w:rFonts w:hint="eastAsia" w:ascii="仿宋" w:hAnsi="仿宋" w:eastAsia="仿宋"/>
          <w:sz w:val="28"/>
          <w:szCs w:val="28"/>
          <w:lang w:eastAsia="zh-CN"/>
        </w:rPr>
        <w:t>。</w:t>
      </w:r>
    </w:p>
    <w:p>
      <w:pPr>
        <w:autoSpaceDE w:val="0"/>
        <w:autoSpaceDN w:val="0"/>
        <w:adjustRightInd w:val="0"/>
        <w:snapToGrid w:val="0"/>
        <w:spacing w:line="480" w:lineRule="auto"/>
        <w:rPr>
          <w:rFonts w:ascii="仿宋" w:hAnsi="仿宋" w:eastAsia="仿宋"/>
          <w:sz w:val="28"/>
          <w:szCs w:val="28"/>
        </w:rPr>
      </w:pPr>
      <w:r>
        <w:rPr>
          <w:rFonts w:ascii="仿宋" w:hAnsi="仿宋" w:eastAsia="仿宋"/>
          <w:b/>
          <w:sz w:val="28"/>
          <w:szCs w:val="28"/>
        </w:rPr>
        <w:t>十</w:t>
      </w:r>
      <w:r>
        <w:rPr>
          <w:rFonts w:hint="eastAsia" w:ascii="仿宋" w:hAnsi="仿宋" w:eastAsia="仿宋"/>
          <w:b/>
          <w:sz w:val="28"/>
          <w:szCs w:val="28"/>
        </w:rPr>
        <w:t>二</w:t>
      </w:r>
      <w:r>
        <w:rPr>
          <w:rFonts w:ascii="仿宋" w:hAnsi="仿宋" w:eastAsia="仿宋"/>
          <w:b/>
          <w:sz w:val="28"/>
          <w:szCs w:val="28"/>
        </w:rPr>
        <w:t>、保密条款</w:t>
      </w:r>
      <w:r>
        <w:rPr>
          <w:rFonts w:hint="eastAsia" w:ascii="仿宋" w:hAnsi="仿宋" w:eastAsia="仿宋" w:cs="宋体"/>
          <w:color w:val="333333"/>
          <w:kern w:val="0"/>
          <w:sz w:val="28"/>
          <w:szCs w:val="28"/>
        </w:rPr>
        <w:t xml:space="preserve"> 　　</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在本合同期内或合同终止后，乙方不得向任何第三方透露或泄露在本合同履行中获得的甲方的商业秘密。</w:t>
      </w:r>
    </w:p>
    <w:p>
      <w:pPr>
        <w:autoSpaceDE w:val="0"/>
        <w:autoSpaceDN w:val="0"/>
        <w:adjustRightInd w:val="0"/>
        <w:snapToGrid w:val="0"/>
        <w:spacing w:line="480" w:lineRule="auto"/>
        <w:ind w:firstLine="560" w:firstLineChars="200"/>
        <w:rPr>
          <w:rFonts w:ascii="仿宋" w:hAnsi="仿宋" w:eastAsia="仿宋"/>
          <w:sz w:val="28"/>
          <w:szCs w:val="28"/>
        </w:rPr>
      </w:pPr>
      <w:r>
        <w:rPr>
          <w:rFonts w:hint="eastAsia" w:ascii="仿宋" w:hAnsi="仿宋" w:eastAsia="仿宋"/>
          <w:sz w:val="28"/>
          <w:szCs w:val="28"/>
        </w:rPr>
        <w:t>未经对方同意，任何一方均不得将相关文件（含工程建设有关资料、模型文件等）用于与本项目无关的其它项目上或提供给其他企业使用。</w:t>
      </w:r>
    </w:p>
    <w:p>
      <w:pPr>
        <w:spacing w:line="480" w:lineRule="auto"/>
        <w:rPr>
          <w:rFonts w:ascii="仿宋" w:hAnsi="仿宋" w:eastAsia="仿宋"/>
          <w:b/>
          <w:sz w:val="28"/>
          <w:szCs w:val="28"/>
        </w:rPr>
      </w:pPr>
      <w:r>
        <w:rPr>
          <w:rFonts w:ascii="仿宋" w:hAnsi="仿宋" w:eastAsia="仿宋"/>
          <w:b/>
          <w:sz w:val="28"/>
          <w:szCs w:val="28"/>
        </w:rPr>
        <w:t>十</w:t>
      </w:r>
      <w:r>
        <w:rPr>
          <w:rFonts w:hint="eastAsia" w:ascii="仿宋" w:hAnsi="仿宋" w:eastAsia="仿宋"/>
          <w:b/>
          <w:sz w:val="28"/>
          <w:szCs w:val="28"/>
        </w:rPr>
        <w:t>三</w:t>
      </w:r>
      <w:r>
        <w:rPr>
          <w:rFonts w:ascii="仿宋" w:hAnsi="仿宋" w:eastAsia="仿宋"/>
          <w:b/>
          <w:sz w:val="28"/>
          <w:szCs w:val="28"/>
        </w:rPr>
        <w:t>、签订时间和合同生效</w:t>
      </w:r>
      <w:bookmarkEnd w:id="4"/>
      <w:bookmarkEnd w:id="5"/>
      <w:bookmarkEnd w:id="6"/>
    </w:p>
    <w:p>
      <w:pPr>
        <w:autoSpaceDE w:val="0"/>
        <w:autoSpaceDN w:val="0"/>
        <w:adjustRightInd w:val="0"/>
        <w:spacing w:line="480" w:lineRule="auto"/>
        <w:ind w:firstLine="560" w:firstLineChars="200"/>
        <w:rPr>
          <w:rFonts w:ascii="仿宋" w:hAnsi="仿宋" w:eastAsia="仿宋"/>
          <w:sz w:val="28"/>
          <w:szCs w:val="28"/>
        </w:rPr>
      </w:pPr>
      <w:bookmarkStart w:id="7" w:name="_Toc351203491"/>
      <w:bookmarkStart w:id="8" w:name="_Toc424790463"/>
      <w:bookmarkStart w:id="9" w:name="_Toc416345567"/>
      <w:r>
        <w:rPr>
          <w:rFonts w:ascii="仿宋" w:hAnsi="仿宋" w:eastAsia="仿宋"/>
          <w:sz w:val="28"/>
          <w:szCs w:val="28"/>
        </w:rPr>
        <w:t>本合同</w:t>
      </w:r>
      <w:r>
        <w:rPr>
          <w:rFonts w:ascii="仿宋" w:hAnsi="仿宋" w:eastAsia="仿宋"/>
          <w:sz w:val="28"/>
          <w:szCs w:val="28"/>
          <w:u w:val="single"/>
        </w:rPr>
        <w:t>自</w:t>
      </w:r>
      <w:r>
        <w:rPr>
          <w:rFonts w:hint="eastAsia" w:ascii="仿宋" w:hAnsi="仿宋" w:eastAsia="仿宋"/>
          <w:sz w:val="28"/>
          <w:szCs w:val="28"/>
          <w:u w:val="single"/>
          <w:lang w:val="en-US" w:eastAsia="zh-CN"/>
        </w:rPr>
        <w:t>双方签字盖章后</w:t>
      </w:r>
      <w:r>
        <w:rPr>
          <w:rFonts w:ascii="仿宋" w:hAnsi="仿宋" w:eastAsia="仿宋"/>
          <w:sz w:val="28"/>
          <w:szCs w:val="28"/>
        </w:rPr>
        <w:t>生效。</w:t>
      </w:r>
    </w:p>
    <w:bookmarkEnd w:id="7"/>
    <w:bookmarkEnd w:id="8"/>
    <w:bookmarkEnd w:id="9"/>
    <w:p>
      <w:pPr>
        <w:spacing w:line="480" w:lineRule="auto"/>
        <w:rPr>
          <w:rFonts w:ascii="仿宋" w:hAnsi="仿宋" w:eastAsia="仿宋"/>
          <w:b/>
          <w:sz w:val="28"/>
          <w:szCs w:val="28"/>
        </w:rPr>
      </w:pPr>
      <w:bookmarkStart w:id="10" w:name="_Toc416345569"/>
      <w:bookmarkStart w:id="11" w:name="_Toc351203493"/>
      <w:bookmarkStart w:id="12" w:name="_Toc424790465"/>
      <w:r>
        <w:rPr>
          <w:rFonts w:ascii="仿宋" w:hAnsi="仿宋" w:eastAsia="仿宋"/>
          <w:b/>
          <w:sz w:val="28"/>
          <w:szCs w:val="28"/>
        </w:rPr>
        <w:t>十</w:t>
      </w:r>
      <w:r>
        <w:rPr>
          <w:rFonts w:hint="eastAsia" w:ascii="仿宋" w:hAnsi="仿宋" w:eastAsia="仿宋"/>
          <w:b/>
          <w:sz w:val="28"/>
          <w:szCs w:val="28"/>
        </w:rPr>
        <w:t>四</w:t>
      </w:r>
      <w:r>
        <w:rPr>
          <w:rFonts w:ascii="仿宋" w:hAnsi="仿宋" w:eastAsia="仿宋"/>
          <w:b/>
          <w:sz w:val="28"/>
          <w:szCs w:val="28"/>
        </w:rPr>
        <w:t>、合同份数</w:t>
      </w:r>
      <w:bookmarkEnd w:id="10"/>
      <w:bookmarkEnd w:id="11"/>
      <w:bookmarkEnd w:id="12"/>
    </w:p>
    <w:p>
      <w:pPr>
        <w:autoSpaceDE w:val="0"/>
        <w:autoSpaceDN w:val="0"/>
        <w:adjustRightInd w:val="0"/>
        <w:spacing w:line="480" w:lineRule="auto"/>
        <w:ind w:left="420" w:leftChars="200" w:right="-313" w:rightChars="-149"/>
        <w:rPr>
          <w:rFonts w:ascii="仿宋" w:hAnsi="仿宋" w:eastAsia="仿宋"/>
          <w:sz w:val="28"/>
          <w:szCs w:val="28"/>
        </w:rPr>
      </w:pPr>
      <w:r>
        <w:rPr>
          <w:rFonts w:ascii="仿宋" w:hAnsi="仿宋" w:eastAsia="仿宋"/>
          <w:sz w:val="28"/>
          <w:szCs w:val="28"/>
        </w:rPr>
        <w:t>本合同一式</w:t>
      </w:r>
      <w:r>
        <w:rPr>
          <w:rFonts w:hint="eastAsia" w:ascii="仿宋" w:hAnsi="仿宋" w:eastAsia="仿宋"/>
          <w:sz w:val="28"/>
          <w:szCs w:val="28"/>
          <w:u w:val="single"/>
          <w:lang w:val="en-US" w:eastAsia="zh-CN"/>
        </w:rPr>
        <w:t>陆</w:t>
      </w:r>
      <w:r>
        <w:rPr>
          <w:rFonts w:ascii="仿宋" w:hAnsi="仿宋" w:eastAsia="仿宋"/>
          <w:sz w:val="28"/>
          <w:szCs w:val="28"/>
        </w:rPr>
        <w:t>份，均具有同等法律效力，</w:t>
      </w:r>
      <w:r>
        <w:rPr>
          <w:rFonts w:hint="eastAsia" w:ascii="仿宋" w:hAnsi="仿宋" w:eastAsia="仿宋"/>
          <w:sz w:val="28"/>
          <w:szCs w:val="28"/>
        </w:rPr>
        <w:t>甲方</w:t>
      </w:r>
      <w:r>
        <w:rPr>
          <w:rFonts w:ascii="仿宋" w:hAnsi="仿宋" w:eastAsia="仿宋"/>
          <w:sz w:val="28"/>
          <w:szCs w:val="28"/>
        </w:rPr>
        <w:t>执</w:t>
      </w:r>
      <w:r>
        <w:rPr>
          <w:rFonts w:hint="eastAsia" w:ascii="仿宋" w:hAnsi="仿宋" w:eastAsia="仿宋"/>
          <w:sz w:val="28"/>
          <w:szCs w:val="28"/>
          <w:u w:val="single"/>
          <w:lang w:val="en-US" w:eastAsia="zh-CN"/>
        </w:rPr>
        <w:t>肆</w:t>
      </w:r>
      <w:r>
        <w:rPr>
          <w:rFonts w:ascii="仿宋" w:hAnsi="仿宋" w:eastAsia="仿宋"/>
          <w:sz w:val="28"/>
          <w:szCs w:val="28"/>
        </w:rPr>
        <w:t>份，</w:t>
      </w:r>
      <w:r>
        <w:rPr>
          <w:rFonts w:hint="eastAsia" w:ascii="仿宋" w:hAnsi="仿宋" w:eastAsia="仿宋"/>
          <w:sz w:val="28"/>
          <w:szCs w:val="28"/>
        </w:rPr>
        <w:t>乙方</w:t>
      </w:r>
      <w:r>
        <w:rPr>
          <w:rFonts w:ascii="仿宋" w:hAnsi="仿宋" w:eastAsia="仿宋"/>
          <w:sz w:val="28"/>
          <w:szCs w:val="28"/>
        </w:rPr>
        <w:t>执</w:t>
      </w:r>
      <w:r>
        <w:rPr>
          <w:rFonts w:hint="eastAsia" w:ascii="仿宋" w:hAnsi="仿宋" w:eastAsia="仿宋"/>
          <w:sz w:val="28"/>
          <w:szCs w:val="28"/>
          <w:u w:val="single"/>
        </w:rPr>
        <w:t>贰</w:t>
      </w:r>
      <w:r>
        <w:rPr>
          <w:rFonts w:ascii="仿宋" w:hAnsi="仿宋" w:eastAsia="仿宋"/>
          <w:sz w:val="28"/>
          <w:szCs w:val="28"/>
        </w:rPr>
        <w:t>份。</w:t>
      </w:r>
    </w:p>
    <w:p>
      <w:pPr>
        <w:spacing w:line="480" w:lineRule="auto"/>
        <w:rPr>
          <w:rFonts w:ascii="仿宋" w:hAnsi="仿宋" w:eastAsia="仿宋"/>
          <w:b/>
          <w:sz w:val="28"/>
          <w:szCs w:val="28"/>
        </w:rPr>
      </w:pPr>
      <w:r>
        <w:rPr>
          <w:rFonts w:hint="eastAsia" w:ascii="仿宋" w:hAnsi="仿宋" w:eastAsia="仿宋"/>
          <w:b/>
          <w:sz w:val="28"/>
          <w:szCs w:val="28"/>
        </w:rPr>
        <w:t>十五、本合同附件</w:t>
      </w:r>
    </w:p>
    <w:p>
      <w:pPr>
        <w:spacing w:line="480" w:lineRule="auto"/>
        <w:ind w:firstLine="560" w:firstLineChars="200"/>
        <w:rPr>
          <w:rFonts w:ascii="仿宋" w:hAnsi="仿宋" w:eastAsia="仿宋"/>
          <w:sz w:val="28"/>
          <w:szCs w:val="28"/>
        </w:rPr>
      </w:pPr>
      <w:r>
        <w:rPr>
          <w:rFonts w:hint="eastAsia" w:ascii="仿宋" w:hAnsi="仿宋" w:eastAsia="仿宋"/>
          <w:sz w:val="28"/>
          <w:szCs w:val="28"/>
        </w:rPr>
        <w:t>本合同以</w:t>
      </w:r>
      <w:r>
        <w:rPr>
          <w:rFonts w:hint="eastAsia" w:ascii="仿宋" w:hAnsi="仿宋" w:eastAsia="仿宋"/>
          <w:color w:val="000000"/>
          <w:sz w:val="28"/>
          <w:szCs w:val="28"/>
          <w:u w:val="single"/>
          <w:shd w:val="clear" w:color="auto" w:fill="FFFFFF"/>
        </w:rPr>
        <w:t>《成果验收单》</w:t>
      </w:r>
      <w:r>
        <w:rPr>
          <w:rFonts w:hint="eastAsia" w:ascii="仿宋" w:hAnsi="仿宋" w:eastAsia="仿宋"/>
          <w:color w:val="000000"/>
          <w:sz w:val="28"/>
          <w:szCs w:val="28"/>
          <w:shd w:val="clear" w:color="auto" w:fill="FFFFFF"/>
        </w:rPr>
        <w:t>作为本合同的附件。</w:t>
      </w:r>
    </w:p>
    <w:p>
      <w:pPr>
        <w:spacing w:line="480" w:lineRule="auto"/>
        <w:ind w:firstLine="560" w:firstLineChars="200"/>
        <w:rPr>
          <w:rFonts w:hint="eastAsia" w:ascii="仿宋" w:hAnsi="仿宋" w:eastAsia="仿宋"/>
          <w:sz w:val="28"/>
          <w:szCs w:val="28"/>
        </w:rPr>
      </w:pPr>
      <w:r>
        <w:rPr>
          <w:rFonts w:hint="eastAsia" w:ascii="仿宋" w:hAnsi="仿宋" w:eastAsia="仿宋"/>
          <w:sz w:val="28"/>
          <w:szCs w:val="28"/>
        </w:rPr>
        <w:t>（以下无正文）</w:t>
      </w:r>
    </w:p>
    <w:p>
      <w:pPr>
        <w:spacing w:line="480" w:lineRule="auto"/>
        <w:ind w:firstLine="560" w:firstLineChars="200"/>
        <w:rPr>
          <w:rFonts w:hint="eastAsia" w:ascii="仿宋" w:hAnsi="仿宋" w:eastAsia="仿宋"/>
          <w:sz w:val="28"/>
          <w:szCs w:val="28"/>
        </w:rPr>
      </w:pPr>
    </w:p>
    <w:p>
      <w:pPr>
        <w:autoSpaceDE w:val="0"/>
        <w:autoSpaceDN w:val="0"/>
        <w:adjustRightInd w:val="0"/>
        <w:spacing w:line="480" w:lineRule="auto"/>
        <w:ind w:firstLine="560" w:firstLineChars="200"/>
        <w:rPr>
          <w:rFonts w:ascii="仿宋" w:hAnsi="仿宋" w:eastAsia="仿宋"/>
          <w:sz w:val="28"/>
          <w:szCs w:val="28"/>
        </w:rPr>
      </w:pPr>
      <w:r>
        <w:rPr>
          <w:rFonts w:hint="eastAsia" w:ascii="仿宋" w:hAnsi="仿宋" w:eastAsia="仿宋"/>
          <w:sz w:val="28"/>
          <w:szCs w:val="28"/>
        </w:rPr>
        <w:t xml:space="preserve">甲 方： </w:t>
      </w:r>
      <w:r>
        <w:rPr>
          <w:rFonts w:ascii="仿宋" w:hAnsi="仿宋" w:eastAsia="仿宋"/>
          <w:sz w:val="28"/>
          <w:szCs w:val="28"/>
        </w:rPr>
        <w:t xml:space="preserve">(公章)     </w:t>
      </w:r>
      <w:r>
        <w:rPr>
          <w:rFonts w:hint="eastAsia" w:ascii="仿宋" w:hAnsi="仿宋" w:eastAsia="仿宋"/>
          <w:sz w:val="28"/>
          <w:szCs w:val="28"/>
          <w:lang w:val="en-US" w:eastAsia="zh-CN"/>
        </w:rPr>
        <w:t xml:space="preserve">   </w:t>
      </w:r>
      <w:r>
        <w:rPr>
          <w:rFonts w:ascii="仿宋" w:hAnsi="仿宋" w:eastAsia="仿宋"/>
          <w:sz w:val="28"/>
          <w:szCs w:val="28"/>
        </w:rPr>
        <w:t xml:space="preserve">      </w:t>
      </w:r>
      <w:r>
        <w:rPr>
          <w:rFonts w:hint="eastAsia" w:ascii="仿宋" w:hAnsi="仿宋" w:eastAsia="仿宋"/>
          <w:sz w:val="28"/>
          <w:szCs w:val="28"/>
        </w:rPr>
        <w:t xml:space="preserve">乙 方：  </w:t>
      </w:r>
      <w:r>
        <w:rPr>
          <w:rFonts w:ascii="仿宋" w:hAnsi="仿宋" w:eastAsia="仿宋"/>
          <w:sz w:val="28"/>
          <w:szCs w:val="28"/>
        </w:rPr>
        <w:t>(公章)</w:t>
      </w:r>
    </w:p>
    <w:p>
      <w:pPr>
        <w:autoSpaceDE w:val="0"/>
        <w:autoSpaceDN w:val="0"/>
        <w:adjustRightInd w:val="0"/>
        <w:spacing w:line="480" w:lineRule="auto"/>
        <w:ind w:firstLine="560" w:firstLineChars="200"/>
        <w:rPr>
          <w:rFonts w:hint="eastAsia"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 xml:space="preserve">                  </w:t>
      </w:r>
      <w:r>
        <w:rPr>
          <w:rFonts w:hint="eastAsia" w:ascii="仿宋" w:hAnsi="仿宋" w:eastAsia="仿宋"/>
          <w:sz w:val="28"/>
          <w:szCs w:val="28"/>
        </w:rPr>
        <w:t>法定代表人</w:t>
      </w:r>
    </w:p>
    <w:p>
      <w:pPr>
        <w:autoSpaceDE w:val="0"/>
        <w:autoSpaceDN w:val="0"/>
        <w:adjustRightInd w:val="0"/>
        <w:spacing w:line="480" w:lineRule="auto"/>
        <w:rPr>
          <w:rFonts w:ascii="仿宋" w:hAnsi="仿宋" w:eastAsia="仿宋"/>
          <w:sz w:val="28"/>
          <w:szCs w:val="28"/>
        </w:rPr>
      </w:pPr>
      <w:r>
        <w:rPr>
          <w:rFonts w:hint="eastAsia" w:ascii="仿宋" w:hAnsi="仿宋" w:eastAsia="仿宋"/>
          <w:sz w:val="28"/>
          <w:szCs w:val="28"/>
        </w:rPr>
        <w:t xml:space="preserve">或其委托代理人：  </w:t>
      </w:r>
      <w:r>
        <w:rPr>
          <w:rFonts w:hint="eastAsia" w:ascii="仿宋" w:hAnsi="仿宋" w:eastAsia="仿宋"/>
          <w:sz w:val="28"/>
          <w:szCs w:val="28"/>
          <w:lang w:val="en-US" w:eastAsia="zh-CN"/>
        </w:rPr>
        <w:t xml:space="preserve">              </w:t>
      </w:r>
      <w:r>
        <w:rPr>
          <w:rFonts w:hint="eastAsia" w:ascii="仿宋" w:hAnsi="仿宋" w:eastAsia="仿宋"/>
          <w:sz w:val="28"/>
          <w:szCs w:val="28"/>
        </w:rPr>
        <w:t>或其委托代理人：</w:t>
      </w:r>
    </w:p>
    <w:p>
      <w:pPr>
        <w:autoSpaceDE w:val="0"/>
        <w:autoSpaceDN w:val="0"/>
        <w:adjustRightInd w:val="0"/>
        <w:spacing w:line="480" w:lineRule="auto"/>
        <w:ind w:firstLine="1400" w:firstLineChars="500"/>
        <w:rPr>
          <w:rFonts w:ascii="仿宋" w:hAnsi="仿宋" w:eastAsia="仿宋"/>
          <w:sz w:val="28"/>
          <w:szCs w:val="28"/>
        </w:rPr>
      </w:pPr>
      <w:r>
        <w:rPr>
          <w:rFonts w:hint="eastAsia" w:ascii="仿宋" w:hAnsi="仿宋" w:eastAsia="仿宋"/>
          <w:sz w:val="28"/>
          <w:szCs w:val="28"/>
          <w:lang w:val="en-US" w:eastAsia="zh-CN"/>
        </w:rPr>
        <w:t>时间：</w:t>
      </w:r>
      <w:r>
        <w:rPr>
          <w:rFonts w:hint="eastAsia" w:ascii="仿宋" w:hAnsi="仿宋" w:eastAsia="仿宋"/>
          <w:sz w:val="28"/>
          <w:szCs w:val="28"/>
        </w:rPr>
        <w:t xml:space="preserve">                </w:t>
      </w:r>
      <w:r>
        <w:rPr>
          <w:rFonts w:hint="eastAsia" w:ascii="仿宋" w:hAnsi="仿宋" w:eastAsia="仿宋"/>
          <w:sz w:val="28"/>
          <w:szCs w:val="28"/>
          <w:lang w:val="en-US" w:eastAsia="zh-CN"/>
        </w:rPr>
        <w:t>时间：</w:t>
      </w:r>
      <w:r>
        <w:rPr>
          <w:rFonts w:ascii="仿宋" w:hAnsi="仿宋" w:eastAsia="仿宋"/>
          <w:sz w:val="28"/>
          <w:szCs w:val="28"/>
        </w:rPr>
        <w:br w:type="page"/>
      </w:r>
    </w:p>
    <w:tbl>
      <w:tblPr>
        <w:tblStyle w:val="8"/>
        <w:tblW w:w="5738" w:type="pct"/>
        <w:tblInd w:w="-601" w:type="dxa"/>
        <w:tblLayout w:type="autofit"/>
        <w:tblCellMar>
          <w:top w:w="15" w:type="dxa"/>
          <w:left w:w="108" w:type="dxa"/>
          <w:bottom w:w="15" w:type="dxa"/>
          <w:right w:w="108" w:type="dxa"/>
        </w:tblCellMar>
      </w:tblPr>
      <w:tblGrid>
        <w:gridCol w:w="1653"/>
        <w:gridCol w:w="1496"/>
        <w:gridCol w:w="2391"/>
        <w:gridCol w:w="270"/>
        <w:gridCol w:w="2535"/>
        <w:gridCol w:w="2208"/>
      </w:tblGrid>
      <w:tr>
        <w:tblPrEx>
          <w:tblCellMar>
            <w:top w:w="15" w:type="dxa"/>
            <w:left w:w="108" w:type="dxa"/>
            <w:bottom w:w="15" w:type="dxa"/>
            <w:right w:w="108" w:type="dxa"/>
          </w:tblCellMar>
        </w:tblPrEx>
        <w:trPr>
          <w:trHeight w:val="990" w:hRule="atLeast"/>
        </w:trPr>
        <w:tc>
          <w:tcPr>
            <w:tcW w:w="5000" w:type="pct"/>
            <w:gridSpan w:val="6"/>
            <w:tcBorders>
              <w:top w:val="single" w:color="000000" w:sz="12" w:space="0"/>
              <w:left w:val="single" w:color="000000" w:sz="12" w:space="0"/>
              <w:right w:val="single" w:color="000000" w:sz="12" w:space="0"/>
            </w:tcBorders>
            <w:vAlign w:val="center"/>
          </w:tcPr>
          <w:p>
            <w:pPr>
              <w:widowControl/>
              <w:jc w:val="center"/>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建筑信息模型（BIM）应用服务成果确认单</w:t>
            </w:r>
          </w:p>
        </w:tc>
      </w:tr>
      <w:tr>
        <w:tblPrEx>
          <w:tblCellMar>
            <w:top w:w="15" w:type="dxa"/>
            <w:left w:w="108" w:type="dxa"/>
            <w:bottom w:w="15" w:type="dxa"/>
            <w:right w:w="108" w:type="dxa"/>
          </w:tblCellMar>
        </w:tblPrEx>
        <w:trPr>
          <w:trHeight w:val="795" w:hRule="atLeast"/>
        </w:trPr>
        <w:tc>
          <w:tcPr>
            <w:tcW w:w="783" w:type="pct"/>
            <w:tcBorders>
              <w:top w:val="single" w:color="000000" w:sz="4" w:space="0"/>
              <w:left w:val="single" w:color="000000" w:sz="12"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甲方</w:t>
            </w:r>
          </w:p>
        </w:tc>
        <w:tc>
          <w:tcPr>
            <w:tcW w:w="1970" w:type="pct"/>
            <w:gridSpan w:val="3"/>
            <w:tcBorders>
              <w:top w:val="single" w:color="000000" w:sz="4" w:space="0"/>
              <w:left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201" w:type="pct"/>
            <w:tcBorders>
              <w:top w:val="single" w:color="000000" w:sz="4" w:space="0"/>
              <w:left w:val="single" w:color="000000" w:sz="4"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阶段</w:t>
            </w:r>
          </w:p>
        </w:tc>
        <w:tc>
          <w:tcPr>
            <w:tcW w:w="1045" w:type="pct"/>
            <w:tcBorders>
              <w:top w:val="single" w:color="000000" w:sz="4" w:space="0"/>
              <w:left w:val="single" w:color="000000" w:sz="4" w:space="0"/>
              <w:right w:val="single" w:color="000000" w:sz="12" w:space="0"/>
            </w:tcBorders>
            <w:vAlign w:val="center"/>
          </w:tcPr>
          <w:p>
            <w:pPr>
              <w:widowControl/>
              <w:jc w:val="center"/>
              <w:rPr>
                <w:rFonts w:hint="default" w:ascii="等线" w:hAnsi="等线" w:eastAsia="等线" w:cs="宋体"/>
                <w:color w:val="000000"/>
                <w:kern w:val="0"/>
                <w:sz w:val="24"/>
                <w:lang w:val="en-US" w:eastAsia="zh-CN"/>
              </w:rPr>
            </w:pPr>
          </w:p>
        </w:tc>
      </w:tr>
      <w:tr>
        <w:tblPrEx>
          <w:tblCellMar>
            <w:top w:w="15" w:type="dxa"/>
            <w:left w:w="108" w:type="dxa"/>
            <w:bottom w:w="15" w:type="dxa"/>
            <w:right w:w="108" w:type="dxa"/>
          </w:tblCellMar>
        </w:tblPrEx>
        <w:trPr>
          <w:trHeight w:val="795" w:hRule="atLeast"/>
        </w:trPr>
        <w:tc>
          <w:tcPr>
            <w:tcW w:w="783" w:type="pct"/>
            <w:tcBorders>
              <w:top w:val="single" w:color="000000" w:sz="4" w:space="0"/>
              <w:left w:val="single" w:color="000000" w:sz="12"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乙方</w:t>
            </w:r>
          </w:p>
        </w:tc>
        <w:tc>
          <w:tcPr>
            <w:tcW w:w="1970" w:type="pct"/>
            <w:gridSpan w:val="3"/>
            <w:tcBorders>
              <w:top w:val="single" w:color="000000" w:sz="4" w:space="0"/>
              <w:left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201" w:type="pct"/>
            <w:tcBorders>
              <w:top w:val="single" w:color="000000" w:sz="4" w:space="0"/>
              <w:left w:val="single" w:color="000000" w:sz="4"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专业</w:t>
            </w:r>
          </w:p>
        </w:tc>
        <w:tc>
          <w:tcPr>
            <w:tcW w:w="1045" w:type="pct"/>
            <w:tcBorders>
              <w:top w:val="single" w:color="000000" w:sz="4" w:space="0"/>
              <w:left w:val="single" w:color="000000" w:sz="4" w:space="0"/>
              <w:right w:val="single" w:color="000000" w:sz="12" w:space="0"/>
            </w:tcBorders>
            <w:vAlign w:val="center"/>
          </w:tcPr>
          <w:p>
            <w:pPr>
              <w:widowControl/>
              <w:jc w:val="center"/>
              <w:rPr>
                <w:rFonts w:hint="default" w:ascii="等线" w:hAnsi="等线" w:eastAsia="等线" w:cs="宋体"/>
                <w:color w:val="000000"/>
                <w:kern w:val="0"/>
                <w:sz w:val="24"/>
                <w:lang w:val="en-US" w:eastAsia="zh-CN"/>
              </w:rPr>
            </w:pPr>
          </w:p>
        </w:tc>
      </w:tr>
      <w:tr>
        <w:tblPrEx>
          <w:tblCellMar>
            <w:top w:w="15" w:type="dxa"/>
            <w:left w:w="108" w:type="dxa"/>
            <w:bottom w:w="15" w:type="dxa"/>
            <w:right w:w="108" w:type="dxa"/>
          </w:tblCellMar>
        </w:tblPrEx>
        <w:trPr>
          <w:trHeight w:val="795"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项目名称</w:t>
            </w:r>
          </w:p>
        </w:tc>
        <w:tc>
          <w:tcPr>
            <w:tcW w:w="4216" w:type="pct"/>
            <w:gridSpan w:val="5"/>
            <w:tcBorders>
              <w:top w:val="single" w:color="000000" w:sz="4" w:space="0"/>
              <w:left w:val="single" w:color="000000" w:sz="4" w:space="0"/>
              <w:bottom w:val="single" w:color="000000" w:sz="4" w:space="0"/>
              <w:right w:val="single" w:color="000000" w:sz="12" w:space="0"/>
            </w:tcBorders>
            <w:vAlign w:val="center"/>
          </w:tcPr>
          <w:p>
            <w:pPr>
              <w:widowControl/>
              <w:jc w:val="center"/>
              <w:rPr>
                <w:rFonts w:hint="default" w:ascii="等线" w:hAnsi="等线" w:eastAsia="等线" w:cs="宋体"/>
                <w:b w:val="0"/>
                <w:bCs w:val="0"/>
                <w:color w:val="000000"/>
                <w:kern w:val="0"/>
                <w:sz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育鹰小学（西校区）改扩建工程项目（1#教学楼等 3项）项目</w:t>
            </w:r>
          </w:p>
        </w:tc>
      </w:tr>
      <w:tr>
        <w:tblPrEx>
          <w:tblCellMar>
            <w:top w:w="15" w:type="dxa"/>
            <w:left w:w="108" w:type="dxa"/>
            <w:bottom w:w="15" w:type="dxa"/>
            <w:right w:w="108" w:type="dxa"/>
          </w:tblCellMar>
        </w:tblPrEx>
        <w:trPr>
          <w:trHeight w:val="960"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序号</w:t>
            </w:r>
          </w:p>
        </w:tc>
        <w:tc>
          <w:tcPr>
            <w:tcW w:w="184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工作内容</w:t>
            </w:r>
          </w:p>
        </w:tc>
        <w:tc>
          <w:tcPr>
            <w:tcW w:w="132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工作成果</w:t>
            </w: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center"/>
              <w:rPr>
                <w:rFonts w:ascii="等线" w:hAnsi="等线" w:eastAsia="等线" w:cs="宋体"/>
                <w:b/>
                <w:bCs/>
                <w:color w:val="000000"/>
                <w:kern w:val="0"/>
                <w:sz w:val="24"/>
              </w:rPr>
            </w:pPr>
            <w:r>
              <w:rPr>
                <w:rFonts w:hint="eastAsia" w:ascii="等线" w:hAnsi="等线" w:eastAsia="等线" w:cs="宋体"/>
                <w:b/>
                <w:bCs/>
                <w:color w:val="000000"/>
                <w:kern w:val="0"/>
                <w:sz w:val="24"/>
              </w:rPr>
              <w:t>验收意见</w:t>
            </w:r>
            <w:r>
              <w:rPr>
                <w:rFonts w:hint="eastAsia" w:ascii="等线" w:hAnsi="等线" w:eastAsia="等线" w:cs="宋体"/>
                <w:b/>
                <w:bCs/>
                <w:color w:val="000000"/>
                <w:kern w:val="0"/>
                <w:sz w:val="24"/>
              </w:rPr>
              <w:br w:type="textWrapping"/>
            </w:r>
            <w:r>
              <w:rPr>
                <w:rFonts w:hint="eastAsia" w:ascii="等线" w:hAnsi="等线" w:eastAsia="等线" w:cs="宋体"/>
                <w:b/>
                <w:bCs/>
                <w:color w:val="000000"/>
                <w:kern w:val="0"/>
                <w:sz w:val="24"/>
              </w:rPr>
              <w:t>（是否合格）</w:t>
            </w:r>
          </w:p>
        </w:tc>
      </w:tr>
      <w:tr>
        <w:tblPrEx>
          <w:tblCellMar>
            <w:top w:w="15" w:type="dxa"/>
            <w:left w:w="108" w:type="dxa"/>
            <w:bottom w:w="15" w:type="dxa"/>
            <w:right w:w="108" w:type="dxa"/>
          </w:tblCellMar>
        </w:tblPrEx>
        <w:trPr>
          <w:trHeight w:val="1155"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w:t>
            </w:r>
          </w:p>
        </w:tc>
        <w:tc>
          <w:tcPr>
            <w:tcW w:w="184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329" w:type="pct"/>
            <w:gridSpan w:val="2"/>
            <w:vAlign w:val="center"/>
          </w:tcPr>
          <w:p>
            <w:pPr>
              <w:widowControl/>
              <w:jc w:val="center"/>
              <w:rPr>
                <w:rFonts w:ascii="等线" w:hAnsi="等线" w:eastAsia="等线" w:cs="宋体"/>
                <w:color w:val="000000"/>
                <w:kern w:val="0"/>
                <w:sz w:val="24"/>
              </w:rPr>
            </w:pP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left"/>
              <w:rPr>
                <w:rFonts w:ascii="等线" w:hAnsi="等线" w:eastAsia="等线" w:cs="宋体"/>
                <w:color w:val="000000"/>
                <w:kern w:val="0"/>
                <w:sz w:val="24"/>
              </w:rPr>
            </w:pPr>
          </w:p>
        </w:tc>
      </w:tr>
      <w:tr>
        <w:tblPrEx>
          <w:tblCellMar>
            <w:top w:w="15" w:type="dxa"/>
            <w:left w:w="108" w:type="dxa"/>
            <w:bottom w:w="15" w:type="dxa"/>
            <w:right w:w="108" w:type="dxa"/>
          </w:tblCellMar>
        </w:tblPrEx>
        <w:trPr>
          <w:trHeight w:val="1155"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2</w:t>
            </w:r>
          </w:p>
        </w:tc>
        <w:tc>
          <w:tcPr>
            <w:tcW w:w="184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32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left"/>
              <w:rPr>
                <w:rFonts w:ascii="等线" w:hAnsi="等线" w:eastAsia="等线" w:cs="宋体"/>
                <w:color w:val="000000"/>
                <w:kern w:val="0"/>
                <w:sz w:val="24"/>
              </w:rPr>
            </w:pPr>
          </w:p>
        </w:tc>
      </w:tr>
      <w:tr>
        <w:tblPrEx>
          <w:tblCellMar>
            <w:top w:w="15" w:type="dxa"/>
            <w:left w:w="108" w:type="dxa"/>
            <w:bottom w:w="15" w:type="dxa"/>
            <w:right w:w="108" w:type="dxa"/>
          </w:tblCellMar>
        </w:tblPrEx>
        <w:trPr>
          <w:trHeight w:val="1155"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3</w:t>
            </w:r>
          </w:p>
        </w:tc>
        <w:tc>
          <w:tcPr>
            <w:tcW w:w="184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32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left"/>
              <w:rPr>
                <w:rFonts w:ascii="等线" w:hAnsi="等线" w:eastAsia="等线" w:cs="宋体"/>
                <w:color w:val="000000"/>
                <w:kern w:val="0"/>
                <w:sz w:val="24"/>
              </w:rPr>
            </w:pPr>
          </w:p>
        </w:tc>
      </w:tr>
      <w:tr>
        <w:tblPrEx>
          <w:tblCellMar>
            <w:top w:w="15" w:type="dxa"/>
            <w:left w:w="108" w:type="dxa"/>
            <w:bottom w:w="15" w:type="dxa"/>
            <w:right w:w="108" w:type="dxa"/>
          </w:tblCellMar>
        </w:tblPrEx>
        <w:trPr>
          <w:trHeight w:val="1155"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4</w:t>
            </w:r>
          </w:p>
        </w:tc>
        <w:tc>
          <w:tcPr>
            <w:tcW w:w="184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32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left"/>
              <w:rPr>
                <w:rFonts w:ascii="等线" w:hAnsi="等线" w:eastAsia="等线" w:cs="宋体"/>
                <w:color w:val="000000"/>
                <w:kern w:val="0"/>
                <w:sz w:val="24"/>
              </w:rPr>
            </w:pPr>
          </w:p>
        </w:tc>
      </w:tr>
      <w:tr>
        <w:tblPrEx>
          <w:tblCellMar>
            <w:top w:w="15" w:type="dxa"/>
            <w:left w:w="108" w:type="dxa"/>
            <w:bottom w:w="15" w:type="dxa"/>
            <w:right w:w="108" w:type="dxa"/>
          </w:tblCellMar>
        </w:tblPrEx>
        <w:trPr>
          <w:trHeight w:val="1155"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5</w:t>
            </w:r>
          </w:p>
        </w:tc>
        <w:tc>
          <w:tcPr>
            <w:tcW w:w="184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32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color w:val="000000"/>
                <w:kern w:val="0"/>
                <w:sz w:val="24"/>
              </w:rPr>
            </w:pP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left"/>
              <w:rPr>
                <w:rFonts w:ascii="等线" w:hAnsi="等线" w:eastAsia="等线" w:cs="宋体"/>
                <w:color w:val="000000"/>
                <w:kern w:val="0"/>
                <w:sz w:val="24"/>
              </w:rPr>
            </w:pPr>
          </w:p>
        </w:tc>
      </w:tr>
      <w:tr>
        <w:tblPrEx>
          <w:tblCellMar>
            <w:top w:w="15" w:type="dxa"/>
            <w:left w:w="108" w:type="dxa"/>
            <w:bottom w:w="15" w:type="dxa"/>
            <w:right w:w="108" w:type="dxa"/>
          </w:tblCellMar>
        </w:tblPrEx>
        <w:trPr>
          <w:trHeight w:val="750" w:hRule="atLeast"/>
        </w:trPr>
        <w:tc>
          <w:tcPr>
            <w:tcW w:w="783" w:type="pct"/>
            <w:tcBorders>
              <w:top w:val="single" w:color="000000" w:sz="4" w:space="0"/>
              <w:left w:val="single" w:color="000000" w:sz="12"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甲方</w:t>
            </w:r>
          </w:p>
        </w:tc>
        <w:tc>
          <w:tcPr>
            <w:tcW w:w="70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签字确认</w:t>
            </w:r>
          </w:p>
        </w:tc>
        <w:tc>
          <w:tcPr>
            <w:tcW w:w="1133"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b/>
                <w:bCs/>
                <w:color w:val="000000"/>
                <w:kern w:val="0"/>
                <w:sz w:val="22"/>
                <w:szCs w:val="22"/>
              </w:rPr>
            </w:pPr>
          </w:p>
        </w:tc>
        <w:tc>
          <w:tcPr>
            <w:tcW w:w="132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日期</w:t>
            </w:r>
          </w:p>
        </w:tc>
        <w:tc>
          <w:tcPr>
            <w:tcW w:w="1045" w:type="pct"/>
            <w:tcBorders>
              <w:top w:val="single" w:color="000000" w:sz="4" w:space="0"/>
              <w:left w:val="single" w:color="000000" w:sz="4" w:space="0"/>
              <w:bottom w:val="single" w:color="000000" w:sz="4" w:space="0"/>
              <w:right w:val="single" w:color="000000" w:sz="12" w:space="0"/>
            </w:tcBorders>
            <w:vAlign w:val="center"/>
          </w:tcPr>
          <w:p>
            <w:pPr>
              <w:widowControl/>
              <w:jc w:val="left"/>
              <w:rPr>
                <w:rFonts w:ascii="等线" w:hAnsi="等线" w:eastAsia="等线" w:cs="宋体"/>
                <w:b/>
                <w:bCs/>
                <w:color w:val="000000"/>
                <w:kern w:val="0"/>
                <w:sz w:val="22"/>
                <w:szCs w:val="22"/>
              </w:rPr>
            </w:pPr>
          </w:p>
        </w:tc>
      </w:tr>
      <w:tr>
        <w:tblPrEx>
          <w:tblCellMar>
            <w:top w:w="15" w:type="dxa"/>
            <w:left w:w="108" w:type="dxa"/>
            <w:bottom w:w="15" w:type="dxa"/>
            <w:right w:w="108" w:type="dxa"/>
          </w:tblCellMar>
        </w:tblPrEx>
        <w:trPr>
          <w:trHeight w:val="750" w:hRule="atLeast"/>
        </w:trPr>
        <w:tc>
          <w:tcPr>
            <w:tcW w:w="783" w:type="pct"/>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乙方</w:t>
            </w:r>
          </w:p>
        </w:tc>
        <w:tc>
          <w:tcPr>
            <w:tcW w:w="709" w:type="pct"/>
            <w:tcBorders>
              <w:top w:val="single" w:color="000000" w:sz="4" w:space="0"/>
              <w:left w:val="single" w:color="000000" w:sz="4" w:space="0"/>
              <w:bottom w:val="single" w:color="000000" w:sz="12" w:space="0"/>
              <w:right w:val="single" w:color="000000" w:sz="4" w:space="0"/>
            </w:tcBorders>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签字确认</w:t>
            </w:r>
          </w:p>
        </w:tc>
        <w:tc>
          <w:tcPr>
            <w:tcW w:w="1133" w:type="pct"/>
            <w:tcBorders>
              <w:top w:val="single" w:color="000000" w:sz="4" w:space="0"/>
              <w:left w:val="single" w:color="000000" w:sz="4" w:space="0"/>
              <w:bottom w:val="single" w:color="000000" w:sz="12" w:space="0"/>
              <w:right w:val="single" w:color="000000" w:sz="4" w:space="0"/>
            </w:tcBorders>
            <w:vAlign w:val="center"/>
          </w:tcPr>
          <w:p>
            <w:pPr>
              <w:widowControl/>
              <w:jc w:val="left"/>
              <w:rPr>
                <w:rFonts w:ascii="等线" w:hAnsi="等线" w:eastAsia="等线" w:cs="宋体"/>
                <w:b/>
                <w:bCs/>
                <w:color w:val="000000"/>
                <w:kern w:val="0"/>
                <w:sz w:val="22"/>
                <w:szCs w:val="22"/>
              </w:rPr>
            </w:pPr>
          </w:p>
        </w:tc>
        <w:tc>
          <w:tcPr>
            <w:tcW w:w="1329" w:type="pct"/>
            <w:gridSpan w:val="2"/>
            <w:tcBorders>
              <w:top w:val="single" w:color="000000" w:sz="4" w:space="0"/>
              <w:left w:val="single" w:color="000000" w:sz="4" w:space="0"/>
              <w:bottom w:val="single" w:color="000000" w:sz="12" w:space="0"/>
              <w:right w:val="single" w:color="000000" w:sz="4" w:space="0"/>
            </w:tcBorders>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日期</w:t>
            </w:r>
          </w:p>
        </w:tc>
        <w:tc>
          <w:tcPr>
            <w:tcW w:w="1045" w:type="pct"/>
            <w:tcBorders>
              <w:top w:val="single" w:color="000000" w:sz="4" w:space="0"/>
              <w:left w:val="single" w:color="000000" w:sz="4" w:space="0"/>
              <w:bottom w:val="single" w:color="000000" w:sz="12" w:space="0"/>
              <w:right w:val="single" w:color="000000" w:sz="12" w:space="0"/>
            </w:tcBorders>
            <w:vAlign w:val="center"/>
          </w:tcPr>
          <w:p>
            <w:pPr>
              <w:widowControl/>
              <w:jc w:val="left"/>
              <w:rPr>
                <w:rFonts w:ascii="等线" w:hAnsi="等线" w:eastAsia="等线" w:cs="宋体"/>
                <w:b/>
                <w:bCs/>
                <w:color w:val="000000"/>
                <w:kern w:val="0"/>
                <w:sz w:val="22"/>
                <w:szCs w:val="22"/>
              </w:rPr>
            </w:pPr>
          </w:p>
        </w:tc>
      </w:tr>
    </w:tbl>
    <w:p>
      <w:pPr>
        <w:autoSpaceDE w:val="0"/>
        <w:autoSpaceDN w:val="0"/>
        <w:adjustRightInd w:val="0"/>
        <w:spacing w:line="480" w:lineRule="auto"/>
        <w:rPr>
          <w:rFonts w:ascii="仿宋" w:hAnsi="仿宋" w:eastAsia="仿宋"/>
          <w:sz w:val="28"/>
          <w:szCs w:val="28"/>
        </w:rPr>
      </w:pPr>
    </w:p>
    <w:sectPr>
      <w:pgSz w:w="11906" w:h="16838"/>
      <w:pgMar w:top="1440" w:right="1463" w:bottom="132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E23CC"/>
    <w:multiLevelType w:val="singleLevel"/>
    <w:tmpl w:val="DB9E23CC"/>
    <w:lvl w:ilvl="0" w:tentative="0">
      <w:start w:val="1"/>
      <w:numFmt w:val="decimal"/>
      <w:lvlText w:val="%1."/>
      <w:lvlJc w:val="left"/>
      <w:pPr>
        <w:tabs>
          <w:tab w:val="left" w:pos="312"/>
        </w:tabs>
      </w:pPr>
    </w:lvl>
  </w:abstractNum>
  <w:abstractNum w:abstractNumId="1">
    <w:nsid w:val="FBAF1CC2"/>
    <w:multiLevelType w:val="singleLevel"/>
    <w:tmpl w:val="FBAF1CC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lYjhmY2JhOThmMWJmNTM4YzA1NWI2OTVhYjMyMDAifQ=="/>
  </w:docVars>
  <w:rsids>
    <w:rsidRoot w:val="00465946"/>
    <w:rsid w:val="000342BF"/>
    <w:rsid w:val="0003593E"/>
    <w:rsid w:val="00047A4D"/>
    <w:rsid w:val="00051877"/>
    <w:rsid w:val="000675B6"/>
    <w:rsid w:val="00081B13"/>
    <w:rsid w:val="000B6437"/>
    <w:rsid w:val="000C15C5"/>
    <w:rsid w:val="000D19EB"/>
    <w:rsid w:val="001071CA"/>
    <w:rsid w:val="00132398"/>
    <w:rsid w:val="00164754"/>
    <w:rsid w:val="00187D9F"/>
    <w:rsid w:val="001C0604"/>
    <w:rsid w:val="001C7D5B"/>
    <w:rsid w:val="001D4413"/>
    <w:rsid w:val="001F1CCD"/>
    <w:rsid w:val="001F29B3"/>
    <w:rsid w:val="00214B2C"/>
    <w:rsid w:val="0023390D"/>
    <w:rsid w:val="0023404C"/>
    <w:rsid w:val="00240379"/>
    <w:rsid w:val="00265A2B"/>
    <w:rsid w:val="00266E14"/>
    <w:rsid w:val="0027033B"/>
    <w:rsid w:val="002A466B"/>
    <w:rsid w:val="002C6EB2"/>
    <w:rsid w:val="002D27CF"/>
    <w:rsid w:val="002E5BC4"/>
    <w:rsid w:val="00317B1E"/>
    <w:rsid w:val="003571F6"/>
    <w:rsid w:val="0036738E"/>
    <w:rsid w:val="003A397A"/>
    <w:rsid w:val="003A4545"/>
    <w:rsid w:val="003D3896"/>
    <w:rsid w:val="003D7D7D"/>
    <w:rsid w:val="00404385"/>
    <w:rsid w:val="00447BAC"/>
    <w:rsid w:val="00455B64"/>
    <w:rsid w:val="00461703"/>
    <w:rsid w:val="00465946"/>
    <w:rsid w:val="004704FE"/>
    <w:rsid w:val="00482AF1"/>
    <w:rsid w:val="004935D8"/>
    <w:rsid w:val="00497235"/>
    <w:rsid w:val="004C629D"/>
    <w:rsid w:val="004D6BFF"/>
    <w:rsid w:val="004E3C8E"/>
    <w:rsid w:val="005101CD"/>
    <w:rsid w:val="00514DA5"/>
    <w:rsid w:val="005151D8"/>
    <w:rsid w:val="005623DE"/>
    <w:rsid w:val="005C391D"/>
    <w:rsid w:val="005C4278"/>
    <w:rsid w:val="005D157E"/>
    <w:rsid w:val="00601683"/>
    <w:rsid w:val="0060737E"/>
    <w:rsid w:val="00631D03"/>
    <w:rsid w:val="00641DD2"/>
    <w:rsid w:val="00654332"/>
    <w:rsid w:val="0066795B"/>
    <w:rsid w:val="006D0C38"/>
    <w:rsid w:val="006E399A"/>
    <w:rsid w:val="006F6501"/>
    <w:rsid w:val="006F6B54"/>
    <w:rsid w:val="007039B5"/>
    <w:rsid w:val="007353A6"/>
    <w:rsid w:val="0076783F"/>
    <w:rsid w:val="007A15E7"/>
    <w:rsid w:val="007E408F"/>
    <w:rsid w:val="008548FB"/>
    <w:rsid w:val="008B4F4D"/>
    <w:rsid w:val="008C6D05"/>
    <w:rsid w:val="008D7A84"/>
    <w:rsid w:val="008E3800"/>
    <w:rsid w:val="00907464"/>
    <w:rsid w:val="00911F36"/>
    <w:rsid w:val="00930AE9"/>
    <w:rsid w:val="00952BAC"/>
    <w:rsid w:val="00955F98"/>
    <w:rsid w:val="00964705"/>
    <w:rsid w:val="009B52CA"/>
    <w:rsid w:val="009E5B8D"/>
    <w:rsid w:val="009F2784"/>
    <w:rsid w:val="00A1195B"/>
    <w:rsid w:val="00A21E64"/>
    <w:rsid w:val="00A32176"/>
    <w:rsid w:val="00A62DA7"/>
    <w:rsid w:val="00A6411B"/>
    <w:rsid w:val="00A715EB"/>
    <w:rsid w:val="00A71D1A"/>
    <w:rsid w:val="00A90F30"/>
    <w:rsid w:val="00B04027"/>
    <w:rsid w:val="00B05B6E"/>
    <w:rsid w:val="00B40E0A"/>
    <w:rsid w:val="00B60AF7"/>
    <w:rsid w:val="00B70716"/>
    <w:rsid w:val="00B813D9"/>
    <w:rsid w:val="00BE52C3"/>
    <w:rsid w:val="00C05ACA"/>
    <w:rsid w:val="00C224F8"/>
    <w:rsid w:val="00C4339C"/>
    <w:rsid w:val="00C7070D"/>
    <w:rsid w:val="00C826E0"/>
    <w:rsid w:val="00CB0F3C"/>
    <w:rsid w:val="00CE4BB4"/>
    <w:rsid w:val="00D1120E"/>
    <w:rsid w:val="00D232BD"/>
    <w:rsid w:val="00D743B5"/>
    <w:rsid w:val="00D80951"/>
    <w:rsid w:val="00DB6888"/>
    <w:rsid w:val="00DD5FC8"/>
    <w:rsid w:val="00E615D7"/>
    <w:rsid w:val="00E919AC"/>
    <w:rsid w:val="00E91EFA"/>
    <w:rsid w:val="00EB7696"/>
    <w:rsid w:val="00ED3CA8"/>
    <w:rsid w:val="00EE1883"/>
    <w:rsid w:val="00EE43A6"/>
    <w:rsid w:val="00EF6028"/>
    <w:rsid w:val="00F724AB"/>
    <w:rsid w:val="00F92907"/>
    <w:rsid w:val="00F965BF"/>
    <w:rsid w:val="00FC1064"/>
    <w:rsid w:val="00FD5FED"/>
    <w:rsid w:val="01DD59FB"/>
    <w:rsid w:val="01F82835"/>
    <w:rsid w:val="02CB1CF7"/>
    <w:rsid w:val="02CC173D"/>
    <w:rsid w:val="03086AA8"/>
    <w:rsid w:val="04A916F1"/>
    <w:rsid w:val="054D2E98"/>
    <w:rsid w:val="06897EFF"/>
    <w:rsid w:val="06CB676A"/>
    <w:rsid w:val="088E7A4F"/>
    <w:rsid w:val="09F74BB0"/>
    <w:rsid w:val="0A6E5B8D"/>
    <w:rsid w:val="0A8824CA"/>
    <w:rsid w:val="0D1902CF"/>
    <w:rsid w:val="0E883192"/>
    <w:rsid w:val="0F4E6DB3"/>
    <w:rsid w:val="10C0337A"/>
    <w:rsid w:val="115F10DC"/>
    <w:rsid w:val="11B00A36"/>
    <w:rsid w:val="11C91AF8"/>
    <w:rsid w:val="13320F7E"/>
    <w:rsid w:val="13DD4A76"/>
    <w:rsid w:val="162F251A"/>
    <w:rsid w:val="16B50031"/>
    <w:rsid w:val="16FA118A"/>
    <w:rsid w:val="18611A5E"/>
    <w:rsid w:val="1A850BA8"/>
    <w:rsid w:val="1B3911F4"/>
    <w:rsid w:val="1B9118D8"/>
    <w:rsid w:val="1C5101C5"/>
    <w:rsid w:val="1D743260"/>
    <w:rsid w:val="1DBE48C0"/>
    <w:rsid w:val="1E0A5972"/>
    <w:rsid w:val="1E3D18A3"/>
    <w:rsid w:val="1E9516DF"/>
    <w:rsid w:val="200B777F"/>
    <w:rsid w:val="20582DCE"/>
    <w:rsid w:val="223905D4"/>
    <w:rsid w:val="226B2757"/>
    <w:rsid w:val="22AC0852"/>
    <w:rsid w:val="23B32608"/>
    <w:rsid w:val="23B343B6"/>
    <w:rsid w:val="23B3530D"/>
    <w:rsid w:val="23E2398C"/>
    <w:rsid w:val="24572FDD"/>
    <w:rsid w:val="28060F58"/>
    <w:rsid w:val="290336EA"/>
    <w:rsid w:val="298760C9"/>
    <w:rsid w:val="29CB16E5"/>
    <w:rsid w:val="2A0B0AA8"/>
    <w:rsid w:val="2B6143D4"/>
    <w:rsid w:val="2C714E0E"/>
    <w:rsid w:val="2CF577ED"/>
    <w:rsid w:val="2D1F486A"/>
    <w:rsid w:val="2E5F13C2"/>
    <w:rsid w:val="327E0358"/>
    <w:rsid w:val="329F4483"/>
    <w:rsid w:val="32F522F5"/>
    <w:rsid w:val="33462B51"/>
    <w:rsid w:val="33F9427F"/>
    <w:rsid w:val="3518051D"/>
    <w:rsid w:val="356C7E2D"/>
    <w:rsid w:val="37F27EF0"/>
    <w:rsid w:val="382F7FF6"/>
    <w:rsid w:val="386E35B9"/>
    <w:rsid w:val="38AB009D"/>
    <w:rsid w:val="39B06F76"/>
    <w:rsid w:val="39C90037"/>
    <w:rsid w:val="39CB1856"/>
    <w:rsid w:val="3A555BAF"/>
    <w:rsid w:val="3A7E3F11"/>
    <w:rsid w:val="3B181276"/>
    <w:rsid w:val="3BF375EE"/>
    <w:rsid w:val="3C0435A9"/>
    <w:rsid w:val="3C1778AE"/>
    <w:rsid w:val="3CB60D47"/>
    <w:rsid w:val="3D404AB5"/>
    <w:rsid w:val="3DF82197"/>
    <w:rsid w:val="3E970704"/>
    <w:rsid w:val="3F740A45"/>
    <w:rsid w:val="3FF02235"/>
    <w:rsid w:val="415723CD"/>
    <w:rsid w:val="44B87BF5"/>
    <w:rsid w:val="450022E5"/>
    <w:rsid w:val="45171E79"/>
    <w:rsid w:val="453B3465"/>
    <w:rsid w:val="468A037D"/>
    <w:rsid w:val="4767665F"/>
    <w:rsid w:val="4C7D5B59"/>
    <w:rsid w:val="4CC052CA"/>
    <w:rsid w:val="4D6B3488"/>
    <w:rsid w:val="4E4B5067"/>
    <w:rsid w:val="4E6B22CE"/>
    <w:rsid w:val="4ED47C17"/>
    <w:rsid w:val="4F6E725F"/>
    <w:rsid w:val="4FDC0A54"/>
    <w:rsid w:val="50A617C6"/>
    <w:rsid w:val="50DB3F55"/>
    <w:rsid w:val="51493AE0"/>
    <w:rsid w:val="536032BB"/>
    <w:rsid w:val="55202DAA"/>
    <w:rsid w:val="57882E88"/>
    <w:rsid w:val="58030761"/>
    <w:rsid w:val="58112E7E"/>
    <w:rsid w:val="5A851901"/>
    <w:rsid w:val="5B601FDB"/>
    <w:rsid w:val="5BBC1352"/>
    <w:rsid w:val="5C433822"/>
    <w:rsid w:val="5D0D6309"/>
    <w:rsid w:val="6068214B"/>
    <w:rsid w:val="62635F28"/>
    <w:rsid w:val="62712E97"/>
    <w:rsid w:val="633A298E"/>
    <w:rsid w:val="657F58CB"/>
    <w:rsid w:val="66862C89"/>
    <w:rsid w:val="670A5668"/>
    <w:rsid w:val="67852F40"/>
    <w:rsid w:val="697F233D"/>
    <w:rsid w:val="6A0740E0"/>
    <w:rsid w:val="6ABF1007"/>
    <w:rsid w:val="6AC83870"/>
    <w:rsid w:val="6B7A56CD"/>
    <w:rsid w:val="6B8C1180"/>
    <w:rsid w:val="6C3A254B"/>
    <w:rsid w:val="6DE76703"/>
    <w:rsid w:val="6E8E6B7E"/>
    <w:rsid w:val="6F810491"/>
    <w:rsid w:val="6F963F3C"/>
    <w:rsid w:val="70221C74"/>
    <w:rsid w:val="72C96A2A"/>
    <w:rsid w:val="74277859"/>
    <w:rsid w:val="74591F5B"/>
    <w:rsid w:val="75F91880"/>
    <w:rsid w:val="76085468"/>
    <w:rsid w:val="76251B30"/>
    <w:rsid w:val="76D30303"/>
    <w:rsid w:val="77A15B74"/>
    <w:rsid w:val="789254BD"/>
    <w:rsid w:val="7AD336E1"/>
    <w:rsid w:val="7EFE565A"/>
    <w:rsid w:val="7F6E78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正文"/>
    <w:basedOn w:val="1"/>
    <w:qFormat/>
    <w:uiPriority w:val="0"/>
    <w:pPr>
      <w:snapToGrid w:val="0"/>
      <w:spacing w:line="360" w:lineRule="auto"/>
      <w:ind w:firstLine="200" w:firstLineChars="200"/>
    </w:pPr>
    <w:rPr>
      <w:rFonts w:ascii="等线" w:hAnsi="等线" w:eastAsia="宋体"/>
      <w:szCs w:val="22"/>
      <w:lang w:bidi="he-IL"/>
    </w:rPr>
  </w:style>
  <w:style w:type="paragraph" w:styleId="3">
    <w:name w:val="annotation text"/>
    <w:basedOn w:val="1"/>
    <w:link w:val="14"/>
    <w:qFormat/>
    <w:uiPriority w:val="0"/>
    <w:pPr>
      <w:adjustRightInd w:val="0"/>
      <w:spacing w:line="360" w:lineRule="atLeast"/>
      <w:jc w:val="left"/>
      <w:textAlignment w:val="baseline"/>
    </w:pPr>
    <w:rPr>
      <w:kern w:val="0"/>
      <w:sz w:val="24"/>
      <w:szCs w:val="20"/>
    </w:rPr>
  </w:style>
  <w:style w:type="paragraph" w:styleId="4">
    <w:name w:val="Balloon Text"/>
    <w:basedOn w:val="1"/>
    <w:link w:val="22"/>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next w:val="1"/>
    <w:link w:val="20"/>
    <w:qFormat/>
    <w:uiPriority w:val="10"/>
    <w:pPr>
      <w:spacing w:before="240" w:after="60"/>
      <w:jc w:val="center"/>
      <w:outlineLvl w:val="0"/>
    </w:pPr>
    <w:rPr>
      <w:rFonts w:ascii="Calibri Light" w:hAnsi="Calibri Light" w:eastAsia="宋体" w:cs="Times New Roman"/>
      <w:b/>
      <w:bCs/>
      <w:kern w:val="2"/>
      <w:sz w:val="32"/>
      <w:szCs w:val="32"/>
      <w:lang w:val="en-US" w:eastAsia="zh-CN" w:bidi="ar-SA"/>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000000"/>
      <w:u w:val="single"/>
    </w:rPr>
  </w:style>
  <w:style w:type="character" w:styleId="12">
    <w:name w:val="Hyperlink"/>
    <w:basedOn w:val="10"/>
    <w:semiHidden/>
    <w:unhideWhenUsed/>
    <w:qFormat/>
    <w:uiPriority w:val="99"/>
    <w:rPr>
      <w:color w:val="051970"/>
      <w:u w:val="single"/>
    </w:rPr>
  </w:style>
  <w:style w:type="paragraph" w:styleId="13">
    <w:name w:val="List Paragraph"/>
    <w:basedOn w:val="1"/>
    <w:link w:val="17"/>
    <w:qFormat/>
    <w:uiPriority w:val="34"/>
    <w:pPr>
      <w:widowControl/>
      <w:ind w:firstLine="420" w:firstLineChars="200"/>
      <w:jc w:val="left"/>
    </w:pPr>
    <w:rPr>
      <w:rFonts w:asciiTheme="minorHAnsi" w:hAnsiTheme="minorHAnsi" w:eastAsiaTheme="minorEastAsia" w:cstheme="minorBidi"/>
      <w:szCs w:val="22"/>
    </w:rPr>
  </w:style>
  <w:style w:type="character" w:customStyle="1" w:styleId="14">
    <w:name w:val="批注文字 字符"/>
    <w:basedOn w:val="10"/>
    <w:link w:val="3"/>
    <w:qFormat/>
    <w:uiPriority w:val="0"/>
    <w:rPr>
      <w:rFonts w:ascii="Times New Roman" w:hAnsi="Times New Roman" w:eastAsia="宋体" w:cs="Times New Roman"/>
      <w:kern w:val="0"/>
      <w:sz w:val="24"/>
      <w:szCs w:val="20"/>
    </w:rPr>
  </w:style>
  <w:style w:type="character" w:customStyle="1" w:styleId="15">
    <w:name w:val="Example TEXT Char1"/>
    <w:link w:val="16"/>
    <w:qFormat/>
    <w:uiPriority w:val="0"/>
    <w:rPr>
      <w:rFonts w:ascii="宋体" w:hAnsi="宋体"/>
      <w:szCs w:val="21"/>
    </w:rPr>
  </w:style>
  <w:style w:type="paragraph" w:customStyle="1" w:styleId="16">
    <w:name w:val="Example TEXT"/>
    <w:basedOn w:val="13"/>
    <w:link w:val="15"/>
    <w:qFormat/>
    <w:uiPriority w:val="0"/>
    <w:pPr>
      <w:spacing w:line="360" w:lineRule="auto"/>
      <w:ind w:firstLine="0" w:firstLineChars="0"/>
      <w:contextualSpacing/>
      <w:jc w:val="center"/>
    </w:pPr>
    <w:rPr>
      <w:rFonts w:ascii="宋体" w:hAnsi="宋体"/>
      <w:szCs w:val="21"/>
    </w:rPr>
  </w:style>
  <w:style w:type="character" w:customStyle="1" w:styleId="17">
    <w:name w:val="列表段落 字符"/>
    <w:basedOn w:val="10"/>
    <w:link w:val="13"/>
    <w:qFormat/>
    <w:uiPriority w:val="34"/>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customStyle="1" w:styleId="20">
    <w:name w:val="标题 字符"/>
    <w:basedOn w:val="10"/>
    <w:link w:val="7"/>
    <w:qFormat/>
    <w:uiPriority w:val="10"/>
    <w:rPr>
      <w:rFonts w:ascii="Calibri Light" w:hAnsi="Calibri Light" w:eastAsia="宋体" w:cs="Times New Roman"/>
      <w:b/>
      <w:bCs/>
      <w:sz w:val="32"/>
      <w:szCs w:val="32"/>
    </w:rPr>
  </w:style>
  <w:style w:type="paragraph" w:customStyle="1" w:styleId="21">
    <w:name w:val="工厂"/>
    <w:qFormat/>
    <w:uiPriority w:val="0"/>
    <w:pPr>
      <w:jc w:val="right"/>
    </w:pPr>
    <w:rPr>
      <w:rFonts w:ascii="宋体" w:hAnsi="Times New Roman" w:eastAsia="宋体" w:cs="宋体"/>
      <w:kern w:val="2"/>
      <w:sz w:val="21"/>
      <w:szCs w:val="20"/>
      <w:lang w:val="en-US" w:eastAsia="zh-CN" w:bidi="ar-SA"/>
    </w:rPr>
  </w:style>
  <w:style w:type="character" w:customStyle="1" w:styleId="22">
    <w:name w:val="批注框文本 字符"/>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DD9B-B166-49DA-8728-DF47A477A77F}">
  <ds:schemaRefs/>
</ds:datastoreItem>
</file>

<file path=docProps/app.xml><?xml version="1.0" encoding="utf-8"?>
<Properties xmlns="http://schemas.openxmlformats.org/officeDocument/2006/extended-properties" xmlns:vt="http://schemas.openxmlformats.org/officeDocument/2006/docPropsVTypes">
  <Template>Normal</Template>
  <Pages>10</Pages>
  <Words>521</Words>
  <Characters>2973</Characters>
  <Lines>24</Lines>
  <Paragraphs>6</Paragraphs>
  <TotalTime>2</TotalTime>
  <ScaleCrop>false</ScaleCrop>
  <LinksUpToDate>false</LinksUpToDate>
  <CharactersWithSpaces>3488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2020-07-04T05:21:00Z</dcterms:created>
  <dc:creator>zxzw-001</dc:creator>
  <cp:lastModifiedBy>你X哥</cp:lastModifiedBy>
  <cp:lastPrinted>2023-09-16T08:02:00Z</cp:lastPrinted>
  <dcterms:modified xsi:type="dcterms:W3CDTF">2023-12-11T07:24:35Z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94AE854A9AE64573A0E0DF99F0D5137D_13</vt:lpwstr>
  </property>
</Properties>
</file>