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蒸压加气混凝土砌块技术要求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1.本工程用材料规格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蒸压加气混凝土砌块强度等级A3.5，干密度级别B06。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墙体厚度：150mm，选用150×300×600mm（150×240×600mm）规格砌体，住院楼约115m³，门急诊楼约60m³，共计约175m³。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墙体厚度：200mm，选用200×300×600mm（200×240×600mm）规格砌体，住院楼约1311m³，门急诊楼约940m³，共计约2251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m³。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墙体厚度：250mm，选用240×300×600mm规格砌体，住院楼约27m³，门急诊楼约156m³，共计约183m³。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2.规范、标准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《蒸压加气混凝土砌块》GB/T11968-2020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《蒸压加气混凝土砌块、板材构造》13J104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3.外观尺寸要求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3.1尺寸允许偏差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I型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II型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长度L（mm）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±3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±4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宽度B（mm）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±1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高度H（mm）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±1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±2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3.2外观质量</w:t>
      </w:r>
    </w:p>
    <w:tbl>
      <w:tblPr>
        <w:tblStyle w:val="3"/>
        <w:tblW w:w="8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4297"/>
        <w:gridCol w:w="1491"/>
        <w:gridCol w:w="9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I型</w:t>
            </w:r>
          </w:p>
        </w:tc>
        <w:tc>
          <w:tcPr>
            <w:tcW w:w="148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II型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缺棱掉角</w:t>
            </w:r>
          </w:p>
        </w:tc>
        <w:tc>
          <w:tcPr>
            <w:tcW w:w="429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最小尺寸不得大于（mm）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最大尺寸不得大于（mm）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三个方向尺寸之和不大于120mm的掉角个数，不得多余（个）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裂纹长度</w:t>
            </w:r>
          </w:p>
        </w:tc>
        <w:tc>
          <w:tcPr>
            <w:tcW w:w="429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裂纹长度不得大于（mm）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任意一面不大于70mm的裂纹条数（条）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每块裂纹总数，不得多于（条）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损坏深度不得大于（mm）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表面疏松。表面层裂、表面油污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平面弯曲不大于（mm）</w:t>
            </w:r>
          </w:p>
        </w:tc>
        <w:tc>
          <w:tcPr>
            <w:tcW w:w="149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直角度不大于（mm）</w:t>
            </w:r>
          </w:p>
        </w:tc>
        <w:tc>
          <w:tcPr>
            <w:tcW w:w="149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4.材料性能要求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4.1抗压强度和干密度要求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29"/>
        <w:gridCol w:w="1386"/>
        <w:gridCol w:w="1779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强度级别</w:t>
            </w:r>
          </w:p>
        </w:tc>
        <w:tc>
          <w:tcPr>
            <w:tcW w:w="281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抗压强度/Mpa</w:t>
            </w:r>
          </w:p>
        </w:tc>
        <w:tc>
          <w:tcPr>
            <w:tcW w:w="1779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干密度级别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平均干密度/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kg/m³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平均值</w:t>
            </w:r>
          </w:p>
        </w:tc>
        <w:tc>
          <w:tcPr>
            <w:tcW w:w="13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A3.5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≥3.5</w:t>
            </w:r>
          </w:p>
        </w:tc>
        <w:tc>
          <w:tcPr>
            <w:tcW w:w="138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≥3.0</w:t>
            </w:r>
          </w:p>
        </w:tc>
        <w:tc>
          <w:tcPr>
            <w:tcW w:w="177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B04</w:t>
            </w:r>
          </w:p>
        </w:tc>
        <w:tc>
          <w:tcPr>
            <w:tcW w:w="22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≤450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B05</w:t>
            </w:r>
          </w:p>
        </w:tc>
        <w:tc>
          <w:tcPr>
            <w:tcW w:w="22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≤550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B06</w:t>
            </w:r>
          </w:p>
        </w:tc>
        <w:tc>
          <w:tcPr>
            <w:tcW w:w="22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≤650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4.2材料干燥收缩值应不大于0.50mm/m。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4.3材料抗冻性要求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强度级别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A3.5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抗冻性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冻后质量平均值损失/%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≤5.0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冻后强度平均值损失/%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≤20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4.4导热系数要求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干密度级别</w:t>
            </w: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B06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导热系数（干态）/[W/(m·K)]，≤</w:t>
            </w: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0.16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5.原材料要求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5.1水泥应符合GB175的规定。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5.2生石灰应符合JC/T621的规定。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5.3砂浆应符合JC/T622的规定。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5.4粉煤灰应符合JC/T409的规定。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5.5铝粉膏应符合JC/T407的规定。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5.6铝粉应符合GB/T2085.2的规定。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5.7石膏应符合相应标准的规定，其放射性水平应符合GB/T6566的规定，并经检验方可用于生产。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6681A"/>
    <w:rsid w:val="19E014A8"/>
    <w:rsid w:val="2707128D"/>
    <w:rsid w:val="297A3C85"/>
    <w:rsid w:val="3A6B0756"/>
    <w:rsid w:val="44A416B8"/>
    <w:rsid w:val="4C462AB7"/>
    <w:rsid w:val="5616681A"/>
    <w:rsid w:val="60A4441E"/>
    <w:rsid w:val="64B9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2021-12-23T13:41:00Z</dcterms:created>
  <dc:creator>琼●路—遥</dc:creator>
  <cp:lastModifiedBy>sgz110</cp:lastModifiedBy>
  <dcterms:modified xsi:type="dcterms:W3CDTF">2022-03-01T00:39:56Z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C988B297640A4D66993180739B1E9269</vt:lpwstr>
  </property>
</Properties>
</file>