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kern w:val="0"/>
          <w:sz w:val="24"/>
          <w:szCs w:val="21"/>
        </w:rPr>
      </w:pPr>
      <w:r>
        <w:rPr>
          <w:rFonts w:hint="eastAsia" w:ascii="宋体" w:hAnsi="宋体"/>
          <w:kern w:val="0"/>
          <w:sz w:val="24"/>
          <w:szCs w:val="21"/>
        </w:rPr>
        <w:t>1.应急电源简介</w:t>
      </w:r>
    </w:p>
    <w:p>
      <w:pPr>
        <w:spacing w:line="360" w:lineRule="auto"/>
        <w:ind w:firstLine="630"/>
        <w:rPr>
          <w:rFonts w:hint="eastAsia" w:ascii="宋体" w:hAnsi="宋体"/>
          <w:kern w:val="0"/>
          <w:sz w:val="24"/>
          <w:szCs w:val="21"/>
        </w:rPr>
      </w:pPr>
      <w:r>
        <w:rPr>
          <w:rFonts w:hint="eastAsia" w:ascii="宋体" w:hAnsi="宋体"/>
          <w:kern w:val="0"/>
          <w:sz w:val="24"/>
          <w:szCs w:val="21"/>
        </w:rPr>
        <w:t>应急电源（Emergency Power Supply）简称EPS。应急电源从广义范畴讲，凡是在需要用电的场合，在常用电源脱离负载时，能够提供有限时间、有限输出功率的供电装置都称为应急电源，诸如静止电站、发电机组、蓄电池屏、不间断电源等。我们将所涉及的应急电源加以界定：由蓄电池储存能量的应急供电装置作为本资料中所提及的应急电源。</w:t>
      </w:r>
    </w:p>
    <w:p>
      <w:pPr>
        <w:spacing w:line="360" w:lineRule="auto"/>
        <w:ind w:firstLine="552" w:firstLineChars="230"/>
        <w:rPr>
          <w:rFonts w:hint="eastAsia" w:ascii="宋体" w:hAnsi="宋体"/>
          <w:kern w:val="0"/>
          <w:sz w:val="24"/>
          <w:szCs w:val="21"/>
        </w:rPr>
      </w:pPr>
      <w:r>
        <w:rPr>
          <w:rFonts w:hint="eastAsia" w:ascii="宋体" w:hAnsi="宋体"/>
          <w:kern w:val="0"/>
          <w:sz w:val="24"/>
          <w:szCs w:val="21"/>
        </w:rPr>
        <w:t>应急电源作为应急照明及消防动力系统必不可少的构成单元早已有之，一般建筑设计类手册中都有提及，主要是区域蓄电池集中供电系统，属于直流输出或交、直流输出，与其同时作为应急照明（动力）系统的还有自带电源型应急照明（标志）灯具、发电机组等。90年代初期，国外先进的电力电子技术开始在国内广泛应用，以脉宽调制技术为核心的集中电源型交流输出应急电源产生了，其先进性、可靠性得到了用户的认可。历经多次产品换型，到90年代中后期，逐渐形成了质量可靠、标准化高、技术先进的成型产品，广泛应用于各个领域。</w:t>
      </w:r>
    </w:p>
    <w:p>
      <w:pPr>
        <w:spacing w:line="360" w:lineRule="auto"/>
        <w:rPr>
          <w:rFonts w:hint="eastAsia" w:ascii="宋体" w:hAnsi="宋体"/>
          <w:kern w:val="0"/>
          <w:sz w:val="24"/>
          <w:szCs w:val="21"/>
        </w:rPr>
      </w:pPr>
      <w:r>
        <w:rPr>
          <w:rFonts w:hint="eastAsia" w:ascii="宋体" w:hAnsi="宋体"/>
          <w:kern w:val="0"/>
          <w:sz w:val="24"/>
          <w:szCs w:val="21"/>
        </w:rPr>
        <w:t>2.应急电源的分类</w:t>
      </w:r>
    </w:p>
    <w:p>
      <w:pPr>
        <w:spacing w:line="360" w:lineRule="auto"/>
        <w:rPr>
          <w:rFonts w:hint="eastAsia" w:ascii="宋体" w:hAnsi="宋体"/>
          <w:kern w:val="0"/>
          <w:sz w:val="24"/>
          <w:szCs w:val="21"/>
        </w:rPr>
      </w:pPr>
      <w:r>
        <w:rPr>
          <w:rFonts w:hint="eastAsia" w:ascii="宋体" w:hAnsi="宋体"/>
          <w:kern w:val="0"/>
          <w:sz w:val="24"/>
          <w:szCs w:val="21"/>
        </w:rPr>
        <w:tab/>
      </w:r>
      <w:r>
        <w:rPr>
          <w:rFonts w:hint="eastAsia" w:ascii="宋体" w:hAnsi="宋体"/>
          <w:kern w:val="0"/>
          <w:sz w:val="24"/>
          <w:szCs w:val="21"/>
        </w:rPr>
        <w:t>按照输出形式划分为：交流输出型、直流输出型、交直流混合输出型；</w:t>
      </w:r>
    </w:p>
    <w:p>
      <w:pPr>
        <w:spacing w:line="360" w:lineRule="auto"/>
        <w:rPr>
          <w:rFonts w:hint="eastAsia" w:ascii="宋体" w:hAnsi="宋体"/>
          <w:kern w:val="0"/>
          <w:sz w:val="24"/>
          <w:szCs w:val="21"/>
        </w:rPr>
      </w:pPr>
      <w:r>
        <w:rPr>
          <w:rFonts w:hint="eastAsia" w:ascii="宋体" w:hAnsi="宋体"/>
          <w:kern w:val="0"/>
          <w:sz w:val="24"/>
          <w:szCs w:val="21"/>
        </w:rPr>
        <w:tab/>
      </w:r>
      <w:r>
        <w:rPr>
          <w:rFonts w:hint="eastAsia" w:ascii="宋体" w:hAnsi="宋体"/>
          <w:kern w:val="0"/>
          <w:sz w:val="24"/>
          <w:szCs w:val="21"/>
        </w:rPr>
        <w:t>按照运行方式划分为：冷后备工作、热后备工作、在线工作；</w:t>
      </w:r>
    </w:p>
    <w:p>
      <w:pPr>
        <w:spacing w:line="360" w:lineRule="auto"/>
        <w:rPr>
          <w:rFonts w:hint="eastAsia" w:ascii="宋体" w:hAnsi="宋体"/>
          <w:kern w:val="0"/>
          <w:sz w:val="24"/>
          <w:szCs w:val="21"/>
        </w:rPr>
      </w:pPr>
      <w:r>
        <w:rPr>
          <w:rFonts w:hint="eastAsia" w:ascii="宋体" w:hAnsi="宋体"/>
          <w:kern w:val="0"/>
          <w:sz w:val="24"/>
          <w:szCs w:val="21"/>
        </w:rPr>
        <w:tab/>
      </w:r>
      <w:r>
        <w:rPr>
          <w:rFonts w:hint="eastAsia" w:ascii="宋体" w:hAnsi="宋体"/>
          <w:kern w:val="0"/>
          <w:sz w:val="24"/>
          <w:szCs w:val="21"/>
        </w:rPr>
        <w:t>按照负载特性划分为：单相照明专用型、三相动力专用型、通用型。</w:t>
      </w:r>
    </w:p>
    <w:p>
      <w:pPr>
        <w:spacing w:line="360" w:lineRule="auto"/>
        <w:rPr>
          <w:rFonts w:hint="eastAsia" w:ascii="宋体" w:hAnsi="宋体"/>
          <w:kern w:val="0"/>
          <w:sz w:val="24"/>
          <w:szCs w:val="21"/>
        </w:rPr>
      </w:pPr>
      <w:r>
        <w:rPr>
          <w:rFonts w:hint="eastAsia" w:ascii="宋体" w:hAnsi="宋体"/>
          <w:kern w:val="0"/>
          <w:sz w:val="24"/>
          <w:szCs w:val="21"/>
        </w:rPr>
        <w:t>3.应急电源系统的优势</w:t>
      </w:r>
    </w:p>
    <w:p>
      <w:pPr>
        <w:spacing w:line="360" w:lineRule="auto"/>
        <w:ind w:left="420"/>
        <w:rPr>
          <w:rFonts w:hint="eastAsia" w:ascii="宋体" w:hAnsi="宋体"/>
          <w:kern w:val="0"/>
          <w:sz w:val="24"/>
          <w:szCs w:val="21"/>
        </w:rPr>
      </w:pPr>
      <w:r>
        <w:rPr>
          <w:rFonts w:hint="eastAsia" w:ascii="宋体" w:hAnsi="宋体"/>
          <w:kern w:val="0"/>
          <w:sz w:val="24"/>
          <w:szCs w:val="21"/>
        </w:rPr>
        <w:t>A.主备电转换时间短；</w:t>
      </w:r>
    </w:p>
    <w:p>
      <w:pPr>
        <w:spacing w:line="360" w:lineRule="auto"/>
        <w:ind w:left="420"/>
        <w:rPr>
          <w:rFonts w:hint="eastAsia" w:ascii="宋体" w:hAnsi="宋体"/>
          <w:kern w:val="0"/>
          <w:sz w:val="24"/>
          <w:szCs w:val="21"/>
        </w:rPr>
      </w:pPr>
      <w:r>
        <w:rPr>
          <w:rFonts w:hint="eastAsia" w:ascii="宋体" w:hAnsi="宋体"/>
          <w:kern w:val="0"/>
          <w:sz w:val="24"/>
          <w:szCs w:val="21"/>
        </w:rPr>
        <w:t>B.供电质量高，电压频率稳定；</w:t>
      </w:r>
    </w:p>
    <w:p>
      <w:pPr>
        <w:spacing w:line="360" w:lineRule="auto"/>
        <w:ind w:left="420"/>
        <w:rPr>
          <w:rFonts w:hint="eastAsia" w:ascii="宋体" w:hAnsi="宋体"/>
          <w:kern w:val="0"/>
          <w:sz w:val="24"/>
          <w:szCs w:val="21"/>
        </w:rPr>
      </w:pPr>
      <w:r>
        <w:rPr>
          <w:rFonts w:hint="eastAsia" w:ascii="宋体" w:hAnsi="宋体"/>
          <w:kern w:val="0"/>
          <w:sz w:val="24"/>
          <w:szCs w:val="21"/>
        </w:rPr>
        <w:t>C.自动化程度高，无需值守；</w:t>
      </w:r>
    </w:p>
    <w:p>
      <w:pPr>
        <w:spacing w:line="360" w:lineRule="auto"/>
        <w:ind w:left="420"/>
        <w:rPr>
          <w:rFonts w:hint="eastAsia" w:ascii="宋体" w:hAnsi="宋体"/>
          <w:kern w:val="0"/>
          <w:sz w:val="24"/>
          <w:szCs w:val="21"/>
        </w:rPr>
      </w:pPr>
      <w:r>
        <w:rPr>
          <w:rFonts w:hint="eastAsia" w:ascii="宋体" w:hAnsi="宋体"/>
          <w:kern w:val="0"/>
          <w:sz w:val="24"/>
          <w:szCs w:val="21"/>
        </w:rPr>
        <w:t>D.无污染、无公害、无排放、无振动、低噪音；</w:t>
      </w:r>
    </w:p>
    <w:p>
      <w:pPr>
        <w:spacing w:line="360" w:lineRule="auto"/>
        <w:ind w:left="420"/>
        <w:rPr>
          <w:rFonts w:hint="eastAsia" w:ascii="宋体" w:hAnsi="宋体"/>
          <w:sz w:val="24"/>
          <w:szCs w:val="21"/>
        </w:rPr>
      </w:pPr>
      <w:r>
        <w:rPr>
          <w:rFonts w:hint="eastAsia" w:ascii="宋体" w:hAnsi="宋体"/>
          <w:kern w:val="0"/>
          <w:sz w:val="24"/>
          <w:szCs w:val="21"/>
        </w:rPr>
        <w:t>E.维护简单、使用费用低。</w:t>
      </w:r>
    </w:p>
    <w:p>
      <w:pPr>
        <w:spacing w:line="360" w:lineRule="auto"/>
        <w:rPr>
          <w:rFonts w:hint="eastAsia" w:ascii="宋体" w:hAnsi="宋体"/>
          <w:kern w:val="0"/>
          <w:sz w:val="24"/>
          <w:szCs w:val="21"/>
        </w:rPr>
      </w:pPr>
      <w:r>
        <w:rPr>
          <w:rFonts w:hint="eastAsia" w:ascii="宋体" w:hAnsi="宋体"/>
          <w:sz w:val="24"/>
          <w:szCs w:val="21"/>
        </w:rPr>
        <w:t>4.系</w:t>
      </w:r>
      <w:r>
        <w:rPr>
          <w:rFonts w:hint="eastAsia" w:ascii="宋体" w:hAnsi="宋体"/>
          <w:kern w:val="0"/>
          <w:sz w:val="24"/>
          <w:szCs w:val="21"/>
        </w:rPr>
        <w:t>统方案及相关图纸</w:t>
      </w:r>
    </w:p>
    <w:p>
      <w:pPr>
        <w:spacing w:line="360" w:lineRule="auto"/>
        <w:rPr>
          <w:rFonts w:hint="eastAsia" w:ascii="宋体" w:hAnsi="宋体"/>
          <w:kern w:val="0"/>
          <w:sz w:val="24"/>
          <w:szCs w:val="21"/>
        </w:rPr>
      </w:pPr>
      <w:r>
        <w:rPr>
          <w:rFonts w:ascii="宋体" w:hAnsi="宋体"/>
          <w:sz w:val="24"/>
          <w:szCs w:val="21"/>
        </w:rPr>
        <w:br w:type="page"/>
      </w:r>
      <w:r>
        <w:rPr>
          <w:rFonts w:hint="eastAsia" w:ascii="宋体" w:hAnsi="宋体"/>
          <w:sz w:val="24"/>
          <w:szCs w:val="21"/>
        </w:rPr>
        <w:t>4.1 系</w:t>
      </w:r>
      <w:r>
        <w:rPr>
          <w:rFonts w:hint="eastAsia" w:ascii="宋体" w:hAnsi="宋体"/>
          <w:kern w:val="0"/>
          <w:sz w:val="24"/>
          <w:szCs w:val="21"/>
        </w:rPr>
        <w:t>统方案</w:t>
      </w:r>
    </w:p>
    <w:p>
      <w:pPr>
        <w:spacing w:line="360" w:lineRule="auto"/>
        <w:ind w:left="-4" w:leftChars="-2" w:firstLine="2" w:firstLineChars="1"/>
        <w:rPr>
          <w:rFonts w:hint="eastAsia" w:ascii="宋体" w:hAnsi="宋体"/>
          <w:szCs w:val="21"/>
        </w:rPr>
      </w:pPr>
    </w:p>
    <w:p>
      <w:pPr>
        <w:spacing w:line="360" w:lineRule="auto"/>
        <w:ind w:left="-4" w:leftChars="-2" w:firstLine="2" w:firstLineChars="1"/>
        <w:rPr>
          <w:rFonts w:hint="eastAsia" w:ascii="宋体" w:hAnsi="宋体"/>
          <w:szCs w:val="21"/>
        </w:rPr>
      </w:pPr>
      <w:r>
        <w:rPr>
          <w:rFonts w:hint="eastAsia" w:ascii="宋体" w:hAnsi="宋体"/>
          <w:sz w:val="24"/>
          <w:szCs w:val="21"/>
        </w:rPr>
        <w:t>A.正常运行方式：</w:t>
      </w:r>
    </w:p>
    <w:p>
      <w:pPr>
        <w:rPr>
          <w:rFonts w:hint="eastAsia" w:ascii="宋体" w:hAnsi="宋体"/>
          <w:szCs w:val="21"/>
        </w:rPr>
      </w:pPr>
      <w:r>
        <w:rPr>
          <w:rFonts w:hint="eastAsia" w:ascii="宋体" w:hAnsi="宋体"/>
          <w:szCs w:val="21"/>
        </w:rPr>
        <w:object>
          <v:shape id="_x0000_i1025" o:spt="75" type="#_x0000_t75" style="height:218.7pt;width:441.05pt;" o:ole="t" filled="f" stroked="f" coordsize="21600,21600">
            <v:path/>
            <v:fill on="f" alignshape="1" focussize="0,0"/>
            <v:stroke on="f"/>
            <v:imagedata r:id="rId5" blacklevel="-7864f" grayscale="f" bilevel="f" o:title=""/>
            <o:lock v:ext="edit" aspectratio="t"/>
            <w10:wrap type="none"/>
            <w10:anchorlock/>
          </v:shape>
          <o:OLEObject Type="Embed" ProgID="AutoCAD.Drawing.16" ShapeID="_x0000_i1025" DrawAspect="Content" ObjectID="_1468075725" r:id="rId4">
            <o:LockedField>false</o:LockedField>
          </o:OLEObject>
        </w:object>
      </w:r>
    </w:p>
    <w:p>
      <w:pPr>
        <w:rPr>
          <w:rFonts w:hint="eastAsia" w:ascii="宋体" w:hAnsi="宋体"/>
          <w:szCs w:val="21"/>
        </w:rPr>
      </w:pPr>
      <w:r>
        <w:rPr>
          <w:rFonts w:hint="eastAsia" w:ascii="宋体" w:hAnsi="宋体"/>
          <w:sz w:val="24"/>
          <w:szCs w:val="21"/>
        </w:rPr>
        <w:t>B.电池运行方式：</w:t>
      </w:r>
    </w:p>
    <w:p>
      <w:pPr>
        <w:ind w:left="-105" w:leftChars="-50"/>
        <w:rPr>
          <w:rFonts w:hint="eastAsia" w:ascii="宋体" w:hAnsi="宋体"/>
          <w:szCs w:val="21"/>
        </w:rPr>
      </w:pPr>
      <w:r>
        <w:rPr>
          <w:rFonts w:hint="eastAsia" w:ascii="宋体" w:hAnsi="宋体"/>
          <w:szCs w:val="21"/>
        </w:rPr>
        <w:object>
          <v:shape id="_x0000_i1026" o:spt="75" type="#_x0000_t75" style="height:218.15pt;width:451.5pt;" o:ole="t" filled="f" stroked="f" coordsize="21600,21600">
            <v:path/>
            <v:fill on="f" alignshape="1" focussize="0,0"/>
            <v:stroke on="f"/>
            <v:imagedata r:id="rId7" blacklevel="-5898f" grayscale="f" bilevel="f" o:title=""/>
            <o:lock v:ext="edit" aspectratio="t"/>
            <w10:wrap type="none"/>
            <w10:anchorlock/>
          </v:shape>
          <o:OLEObject Type="Embed" ProgID="AutoCAD.Drawing.16" ShapeID="_x0000_i1026" DrawAspect="Content" ObjectID="_1468075726" r:id="rId6">
            <o:LockedField>false</o:LockedField>
          </o:OLEObject>
        </w:object>
      </w:r>
      <w:r>
        <w:rPr>
          <w:rFonts w:hint="eastAsia" w:ascii="宋体" w:hAnsi="宋体"/>
          <w:szCs w:val="21"/>
        </w:rPr>
        <w:t xml:space="preserve"> </w:t>
      </w:r>
    </w:p>
    <w:p>
      <w:pPr>
        <w:rPr>
          <w:rFonts w:hint="eastAsia" w:ascii="宋体" w:hAnsi="宋体"/>
          <w:sz w:val="24"/>
          <w:szCs w:val="21"/>
        </w:rPr>
      </w:pPr>
      <w:r>
        <w:rPr>
          <w:rFonts w:hint="eastAsia" w:ascii="宋体" w:hAnsi="宋体"/>
          <w:sz w:val="24"/>
          <w:szCs w:val="21"/>
        </w:rPr>
        <w:t>C.维护运行方式：</w:t>
      </w:r>
    </w:p>
    <w:p>
      <w:pPr>
        <w:spacing w:line="360" w:lineRule="auto"/>
        <w:rPr>
          <w:rFonts w:hint="eastAsia" w:ascii="宋体" w:hAnsi="宋体"/>
          <w:szCs w:val="21"/>
        </w:rPr>
      </w:pPr>
      <w:r>
        <w:rPr>
          <w:rFonts w:hint="eastAsia" w:ascii="宋体" w:hAnsi="宋体"/>
          <w:szCs w:val="21"/>
        </w:rPr>
        <w:object>
          <v:shape id="_x0000_i1027" o:spt="75" type="#_x0000_t75" style="height:211.3pt;width:430.6pt;" o:ole="t" filled="f" stroked="f" coordsize="21600,21600">
            <v:path/>
            <v:fill on="f" alignshape="1" focussize="0,0"/>
            <v:stroke on="f"/>
            <v:imagedata r:id="rId9" blacklevel="-5898f" grayscale="f" bilevel="f" o:title=""/>
            <o:lock v:ext="edit" aspectratio="t"/>
            <w10:wrap type="none"/>
            <w10:anchorlock/>
          </v:shape>
          <o:OLEObject Type="Embed" ProgID="AutoCAD.Drawing.16" ShapeID="_x0000_i1027" DrawAspect="Content" ObjectID="_1468075727" r:id="rId8">
            <o:LockedField>false</o:LockedField>
          </o:OLEObject>
        </w:object>
      </w:r>
    </w:p>
    <w:p>
      <w:pPr>
        <w:spacing w:line="360" w:lineRule="auto"/>
        <w:rPr>
          <w:rFonts w:hint="eastAsia" w:ascii="宋体" w:hAnsi="宋体"/>
          <w:kern w:val="0"/>
          <w:sz w:val="24"/>
          <w:szCs w:val="21"/>
        </w:rPr>
      </w:pPr>
      <w:r>
        <w:rPr>
          <w:rFonts w:hint="eastAsia" w:ascii="宋体" w:hAnsi="宋体"/>
          <w:sz w:val="24"/>
          <w:szCs w:val="21"/>
        </w:rPr>
        <w:t xml:space="preserve">4.2 </w:t>
      </w:r>
      <w:r>
        <w:rPr>
          <w:rFonts w:hint="eastAsia" w:ascii="宋体" w:hAnsi="宋体"/>
          <w:kern w:val="0"/>
          <w:sz w:val="24"/>
          <w:szCs w:val="21"/>
        </w:rPr>
        <w:t>外形图及安装图</w:t>
      </w:r>
    </w:p>
    <w:p>
      <w:pPr>
        <w:spacing w:line="360" w:lineRule="auto"/>
        <w:rPr>
          <w:rFonts w:hint="eastAsia" w:ascii="宋体" w:hAnsi="宋体"/>
          <w:kern w:val="0"/>
          <w:sz w:val="24"/>
          <w:szCs w:val="21"/>
        </w:rPr>
      </w:pPr>
    </w:p>
    <w:p>
      <w:pPr>
        <w:spacing w:line="360" w:lineRule="auto"/>
        <w:rPr>
          <w:rFonts w:ascii="宋体" w:hAnsi="宋体"/>
          <w:szCs w:val="21"/>
        </w:rPr>
      </w:pPr>
      <w:r>
        <w:rPr>
          <w:rFonts w:hint="eastAsia" w:ascii="宋体" w:hAnsi="宋体"/>
          <w:sz w:val="28"/>
          <w:szCs w:val="21"/>
        </w:rPr>
        <w:object>
          <v:shape id="_x0000_i1028" o:spt="75" type="#_x0000_t75" style="height:328.1pt;width:441.4pt;" o:ole="t" filled="f" stroked="f" coordsize="21600,21600">
            <v:path/>
            <v:fill on="f" alignshape="1" focussize="0,0"/>
            <v:stroke on="f"/>
            <v:imagedata r:id="rId11" grayscale="f" bilevel="f" o:title=""/>
            <o:lock v:ext="edit" aspectratio="t"/>
            <w10:wrap type="none"/>
            <w10:anchorlock/>
          </v:shape>
          <o:OLEObject Type="Embed" ProgID="AutoCAD.Drawing.16" ShapeID="_x0000_i1028" DrawAspect="Content" ObjectID="_1468075728" r:id="rId10">
            <o:LockedField>false</o:LockedField>
          </o:OLEObject>
        </w:object>
      </w:r>
    </w:p>
    <w:p>
      <w:pPr>
        <w:spacing w:line="360" w:lineRule="auto"/>
        <w:rPr>
          <w:rFonts w:hint="eastAsia" w:ascii="宋体" w:hAnsi="宋体"/>
          <w:kern w:val="0"/>
          <w:sz w:val="24"/>
          <w:szCs w:val="21"/>
        </w:rPr>
      </w:pPr>
      <w:r>
        <w:rPr>
          <w:rFonts w:hint="eastAsia" w:ascii="宋体" w:hAnsi="宋体"/>
          <w:kern w:val="0"/>
          <w:sz w:val="24"/>
          <w:szCs w:val="21"/>
        </w:rPr>
        <w:t>5.应用领域及技术特点</w:t>
      </w:r>
    </w:p>
    <w:p>
      <w:pPr>
        <w:spacing w:line="360" w:lineRule="auto"/>
        <w:rPr>
          <w:rFonts w:hint="eastAsia" w:ascii="宋体" w:hAnsi="宋体"/>
          <w:kern w:val="0"/>
          <w:sz w:val="24"/>
          <w:szCs w:val="21"/>
        </w:rPr>
      </w:pPr>
      <w:r>
        <w:rPr>
          <w:rFonts w:hint="eastAsia" w:ascii="宋体" w:hAnsi="宋体"/>
          <w:kern w:val="0"/>
          <w:sz w:val="24"/>
          <w:szCs w:val="21"/>
        </w:rPr>
        <w:tab/>
      </w:r>
      <w:r>
        <w:rPr>
          <w:rFonts w:hint="eastAsia" w:ascii="宋体" w:hAnsi="宋体"/>
          <w:kern w:val="0"/>
          <w:sz w:val="24"/>
          <w:szCs w:val="21"/>
        </w:rPr>
        <w:t xml:space="preserve"> 应用领域：银行、证券、航空、通讯、交通、电力以及大型公用建筑、控制中心等领域。</w:t>
      </w:r>
    </w:p>
    <w:p>
      <w:pPr>
        <w:spacing w:line="360" w:lineRule="auto"/>
        <w:rPr>
          <w:rFonts w:hint="eastAsia" w:ascii="宋体" w:hAnsi="宋体"/>
          <w:kern w:val="0"/>
          <w:sz w:val="24"/>
          <w:szCs w:val="21"/>
        </w:rPr>
      </w:pPr>
      <w:r>
        <w:rPr>
          <w:rFonts w:hint="eastAsia" w:ascii="宋体" w:hAnsi="宋体"/>
          <w:kern w:val="0"/>
          <w:sz w:val="24"/>
          <w:szCs w:val="21"/>
        </w:rPr>
        <w:t>技术特点：</w:t>
      </w:r>
    </w:p>
    <w:p>
      <w:pPr>
        <w:spacing w:line="360" w:lineRule="auto"/>
        <w:rPr>
          <w:rFonts w:hint="eastAsia" w:ascii="宋体" w:hAnsi="宋体"/>
          <w:kern w:val="0"/>
          <w:sz w:val="24"/>
          <w:szCs w:val="21"/>
        </w:rPr>
      </w:pPr>
      <w:r>
        <w:rPr>
          <w:rFonts w:hint="eastAsia" w:ascii="宋体" w:hAnsi="宋体"/>
          <w:kern w:val="0"/>
          <w:sz w:val="24"/>
          <w:szCs w:val="21"/>
        </w:rPr>
        <w:tab/>
      </w:r>
      <w:r>
        <w:rPr>
          <w:rFonts w:hint="eastAsia" w:ascii="宋体" w:hAnsi="宋体"/>
          <w:kern w:val="0"/>
          <w:sz w:val="24"/>
          <w:szCs w:val="21"/>
        </w:rPr>
        <w:t>A.最新的IGBT技术：采用第四代IGBT技术，其优异的高频开关特性是逆变输出纯净正弦波的保证，同时应用于整流模块，使输入功率因数＞0.97。</w:t>
      </w:r>
    </w:p>
    <w:p>
      <w:pPr>
        <w:spacing w:line="360" w:lineRule="auto"/>
        <w:rPr>
          <w:rFonts w:hint="eastAsia" w:ascii="宋体" w:hAnsi="宋体"/>
          <w:kern w:val="0"/>
          <w:sz w:val="24"/>
          <w:szCs w:val="21"/>
        </w:rPr>
      </w:pPr>
      <w:r>
        <w:rPr>
          <w:rFonts w:hint="eastAsia" w:ascii="宋体" w:hAnsi="宋体"/>
          <w:kern w:val="0"/>
          <w:sz w:val="24"/>
          <w:szCs w:val="21"/>
        </w:rPr>
        <w:tab/>
      </w:r>
      <w:r>
        <w:rPr>
          <w:rFonts w:hint="eastAsia" w:ascii="宋体" w:hAnsi="宋体"/>
          <w:kern w:val="0"/>
          <w:sz w:val="24"/>
          <w:szCs w:val="21"/>
        </w:rPr>
        <w:t>B.具有可扩展性的系统：可以并联运行而不需要外部控制器，最多可实现8台冗余供电系统，数字均流技术显著降低环流&lt;1A。</w:t>
      </w:r>
    </w:p>
    <w:p>
      <w:pPr>
        <w:spacing w:line="360" w:lineRule="auto"/>
        <w:rPr>
          <w:rFonts w:hint="eastAsia" w:ascii="宋体" w:hAnsi="宋体"/>
          <w:kern w:val="0"/>
          <w:sz w:val="24"/>
          <w:szCs w:val="21"/>
        </w:rPr>
      </w:pPr>
      <w:r>
        <w:rPr>
          <w:rFonts w:hint="eastAsia" w:ascii="宋体" w:hAnsi="宋体"/>
          <w:kern w:val="0"/>
          <w:sz w:val="24"/>
          <w:szCs w:val="21"/>
        </w:rPr>
        <w:tab/>
      </w:r>
      <w:r>
        <w:rPr>
          <w:rFonts w:hint="eastAsia" w:ascii="宋体" w:hAnsi="宋体"/>
          <w:kern w:val="0"/>
          <w:sz w:val="24"/>
          <w:szCs w:val="21"/>
        </w:rPr>
        <w:t>C.智能电池监控：采用微处理器连续监控蓄电池状态，带有温度控制的充电器有效增加电池寿命。</w:t>
      </w:r>
    </w:p>
    <w:p>
      <w:pPr>
        <w:spacing w:line="360" w:lineRule="auto"/>
        <w:rPr>
          <w:rFonts w:hint="eastAsia" w:ascii="宋体" w:hAnsi="宋体"/>
          <w:kern w:val="0"/>
          <w:sz w:val="24"/>
          <w:szCs w:val="21"/>
        </w:rPr>
      </w:pPr>
      <w:r>
        <w:rPr>
          <w:rFonts w:hint="eastAsia" w:ascii="宋体" w:hAnsi="宋体"/>
          <w:kern w:val="0"/>
          <w:sz w:val="24"/>
          <w:szCs w:val="21"/>
        </w:rPr>
        <w:tab/>
      </w:r>
      <w:r>
        <w:rPr>
          <w:rFonts w:hint="eastAsia" w:ascii="宋体" w:hAnsi="宋体"/>
          <w:kern w:val="0"/>
          <w:sz w:val="24"/>
          <w:szCs w:val="21"/>
        </w:rPr>
        <w:t>D.输出隔离：配备输出隔离变压器，充分有效抑制共模、差模噪音，提高输出特性。</w:t>
      </w:r>
    </w:p>
    <w:p>
      <w:pPr>
        <w:spacing w:line="360" w:lineRule="auto"/>
        <w:rPr>
          <w:rFonts w:hint="eastAsia" w:ascii="宋体" w:hAnsi="宋体"/>
          <w:kern w:val="0"/>
          <w:sz w:val="24"/>
          <w:szCs w:val="21"/>
        </w:rPr>
      </w:pPr>
      <w:r>
        <w:rPr>
          <w:rFonts w:hint="eastAsia" w:ascii="宋体" w:hAnsi="宋体"/>
          <w:kern w:val="0"/>
          <w:sz w:val="24"/>
          <w:szCs w:val="21"/>
        </w:rPr>
        <w:tab/>
      </w:r>
      <w:r>
        <w:rPr>
          <w:rFonts w:hint="eastAsia" w:ascii="宋体" w:hAnsi="宋体"/>
          <w:kern w:val="0"/>
          <w:sz w:val="24"/>
          <w:szCs w:val="21"/>
        </w:rPr>
        <w:t>E.紧凑的设计：美观紧凑的设计，减小占地面积，降低系统成本，只需打开前门即可方便进行各种维护。</w:t>
      </w:r>
    </w:p>
    <w:p>
      <w:pPr>
        <w:spacing w:line="360" w:lineRule="auto"/>
        <w:ind w:left="-420" w:leftChars="-200"/>
        <w:rPr>
          <w:rFonts w:hint="eastAsia" w:ascii="宋体" w:hAnsi="宋体"/>
          <w:sz w:val="28"/>
          <w:szCs w:val="21"/>
        </w:rPr>
      </w:pPr>
      <w:r>
        <w:rPr>
          <w:rFonts w:hint="eastAsia" w:ascii="宋体" w:hAnsi="宋体"/>
          <w:kern w:val="0"/>
          <w:sz w:val="24"/>
          <w:szCs w:val="21"/>
        </w:rPr>
        <w:tab/>
      </w:r>
    </w:p>
    <w:p>
      <w:pPr>
        <w:spacing w:line="360" w:lineRule="auto"/>
        <w:rPr>
          <w:rFonts w:hint="eastAsia" w:ascii="宋体" w:hAnsi="宋体"/>
          <w:bCs/>
          <w:kern w:val="0"/>
          <w:sz w:val="24"/>
          <w:szCs w:val="21"/>
        </w:rPr>
      </w:pPr>
      <w:r>
        <w:rPr>
          <w:rFonts w:hint="eastAsia" w:ascii="宋体" w:hAnsi="宋体"/>
          <w:bCs/>
          <w:kern w:val="0"/>
          <w:sz w:val="24"/>
          <w:szCs w:val="21"/>
        </w:rPr>
        <w:t>6.远程监控</w:t>
      </w:r>
    </w:p>
    <w:p>
      <w:pPr>
        <w:spacing w:line="360" w:lineRule="auto"/>
        <w:ind w:firstLine="489" w:firstLineChars="204"/>
        <w:rPr>
          <w:rFonts w:hint="eastAsia" w:ascii="宋体" w:hAnsi="宋体"/>
          <w:kern w:val="0"/>
          <w:sz w:val="24"/>
          <w:szCs w:val="21"/>
        </w:rPr>
      </w:pPr>
      <w:r>
        <w:rPr>
          <w:rFonts w:hint="eastAsia" w:ascii="宋体" w:hAnsi="宋体"/>
          <w:kern w:val="0"/>
          <w:sz w:val="24"/>
          <w:szCs w:val="21"/>
        </w:rPr>
        <w:t>主机可选配标准RS232和RS485通讯接口，在PC机上安装监控软件与主机连接后，可在显示器上观测到市电状态、电池状态、负载状态等诸多有关信息，以确保供给主要负载的电源环境作总体控制，自动监控和关闭软件可在所有常规操作系统中运行。</w:t>
      </w:r>
    </w:p>
    <w:p>
      <w:pPr>
        <w:spacing w:line="360" w:lineRule="auto"/>
        <w:rPr>
          <w:rFonts w:hint="eastAsia" w:ascii="宋体" w:hAnsi="宋体"/>
          <w:bCs/>
          <w:kern w:val="0"/>
          <w:sz w:val="24"/>
          <w:szCs w:val="21"/>
        </w:rPr>
      </w:pPr>
      <w:r>
        <w:rPr>
          <w:rFonts w:hint="eastAsia" w:ascii="宋体" w:hAnsi="宋体"/>
          <w:bCs/>
          <w:kern w:val="0"/>
          <w:sz w:val="24"/>
          <w:szCs w:val="21"/>
        </w:rPr>
        <w:t>7.电磁兼容</w:t>
      </w:r>
    </w:p>
    <w:p>
      <w:pPr>
        <w:spacing w:line="360" w:lineRule="auto"/>
        <w:ind w:firstLine="480"/>
        <w:rPr>
          <w:rFonts w:hint="eastAsia" w:ascii="宋体" w:hAnsi="宋体"/>
          <w:kern w:val="0"/>
          <w:sz w:val="24"/>
          <w:szCs w:val="21"/>
        </w:rPr>
      </w:pPr>
      <w:r>
        <w:rPr>
          <w:rFonts w:hint="eastAsia" w:ascii="宋体" w:hAnsi="宋体"/>
          <w:kern w:val="0"/>
          <w:sz w:val="24"/>
          <w:szCs w:val="21"/>
        </w:rPr>
        <w:t>电磁兼容符合EN50091-2 class A</w:t>
      </w:r>
    </w:p>
    <w:p>
      <w:pPr>
        <w:rPr>
          <w:rFonts w:hint="eastAsia"/>
        </w:rPr>
      </w:pPr>
    </w:p>
    <w:p>
      <w:pPr>
        <w:rPr>
          <w:rFonts w:hint="eastAsia"/>
        </w:rPr>
      </w:pPr>
    </w:p>
    <w:p/>
    <w:p>
      <w:pPr>
        <w:rPr>
          <w:rFonts w:hint="eastAsia"/>
        </w:rPr>
      </w:pPr>
      <w:r>
        <w:rPr>
          <w:kern w:val="44"/>
        </w:rPr>
        <w:br w:type="page"/>
      </w:r>
    </w:p>
    <w:p>
      <w:pPr>
        <w:spacing w:line="360" w:lineRule="auto"/>
        <w:outlineLvl w:val="1"/>
        <w:rPr>
          <w:rFonts w:hint="eastAsia"/>
          <w:b/>
          <w:sz w:val="30"/>
          <w:szCs w:val="30"/>
        </w:rPr>
      </w:pPr>
      <w:bookmarkStart w:id="0" w:name="_Toc341717189"/>
      <w:r>
        <w:rPr>
          <w:rFonts w:hint="eastAsia"/>
          <w:b/>
          <w:sz w:val="30"/>
          <w:szCs w:val="30"/>
        </w:rPr>
        <w:t>2.2 应急电源成套柜的制造工艺说明</w:t>
      </w:r>
      <w:bookmarkEnd w:id="0"/>
    </w:p>
    <w:p>
      <w:pPr>
        <w:autoSpaceDE w:val="0"/>
        <w:autoSpaceDN w:val="0"/>
        <w:adjustRightInd w:val="0"/>
        <w:spacing w:line="360" w:lineRule="auto"/>
        <w:rPr>
          <w:rFonts w:hint="eastAsia" w:ascii="宋体" w:hAnsi="宋体"/>
          <w:sz w:val="24"/>
        </w:rPr>
      </w:pPr>
      <w:r>
        <w:rPr>
          <w:rFonts w:hint="eastAsia" w:ascii="宋体" w:hAnsi="宋体" w:cs="黑体"/>
          <w:sz w:val="24"/>
          <w:szCs w:val="44"/>
        </w:rPr>
        <w:t>1.产品生产工艺流程图：</w:t>
      </w:r>
    </w:p>
    <w:p>
      <w:r>
        <w:rPr>
          <w:rFonts w:ascii="宋体" w:hAnsi="宋体"/>
        </w:rPr>
        <w:object>
          <v:shape id="_x0000_i1029" o:spt="75" type="#_x0000_t75" style="height:276.85pt;width:425pt;" o:ole="t" filled="f" stroked="f" coordsize="21600,21600">
            <v:path/>
            <v:fill on="f" focussize="0,0"/>
            <v:stroke on="f"/>
            <v:imagedata r:id="rId13" cropleft="19646f" croptop="14457f" cropright="20763f" cropbottom="21714f" o:title=""/>
            <o:lock v:ext="edit" aspectratio="t"/>
            <w10:wrap type="none"/>
            <w10:anchorlock/>
          </v:shape>
          <o:OLEObject Type="Embed" ProgID="AutoCAD.Drawing.16" ShapeID="_x0000_i1029" DrawAspect="Content" ObjectID="_1468075729" r:id="rId12">
            <o:LockedField>false</o:LockedField>
          </o:OLEObject>
        </w:objec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YzI5MmFlZWM5MWM3ZTM5OGJlMzBjMzE3ZDM0ZTUifQ=="/>
  </w:docVars>
  <w:rsids>
    <w:rsidRoot w:val="644D2795"/>
    <w:rsid w:val="644D2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2023-11-27T08:12:00Z</dcterms:created>
  <dc:creator>Administrator</dc:creator>
  <cp:lastModifiedBy>Administrator</cp:lastModifiedBy>
  <dcterms:modified xsi:type="dcterms:W3CDTF">2023-11-27T08:13:34Z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FB5E2297C1924D949BD059757925D060_11</vt:lpwstr>
  </property>
</Properties>
</file>